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274F5" w14:textId="77777777" w:rsidR="00DD7AF3" w:rsidRPr="003B6A75" w:rsidRDefault="00DD7AF3" w:rsidP="003B6A75">
      <w:pPr>
        <w:pStyle w:val="PL-Corpo"/>
      </w:pPr>
    </w:p>
    <w:p w14:paraId="04ECA055" w14:textId="7420EE8C" w:rsidR="006B533C" w:rsidRPr="003B6A75" w:rsidRDefault="006B533C" w:rsidP="003B6A75">
      <w:pPr>
        <w:pStyle w:val="PL-Corpo"/>
        <w:jc w:val="center"/>
      </w:pPr>
      <w:r w:rsidRPr="003B6A75">
        <w:t>LEI N° 88</w:t>
      </w:r>
      <w:r w:rsidR="003B6A75" w:rsidRPr="003B6A75">
        <w:t>8</w:t>
      </w:r>
      <w:r w:rsidRPr="003B6A75">
        <w:t xml:space="preserve">, DE </w:t>
      </w:r>
      <w:r w:rsidR="00DD7AF3" w:rsidRPr="003B6A75">
        <w:t>2</w:t>
      </w:r>
      <w:r w:rsidR="003B6A75" w:rsidRPr="003B6A75">
        <w:t>7</w:t>
      </w:r>
      <w:r w:rsidRPr="003B6A75">
        <w:t xml:space="preserve"> DE JUNNHO DE 2024</w:t>
      </w:r>
    </w:p>
    <w:p w14:paraId="1B8198E6" w14:textId="77777777" w:rsidR="005E008F" w:rsidRPr="003B6A75" w:rsidRDefault="005E008F" w:rsidP="003B6A75">
      <w:pPr>
        <w:pStyle w:val="PL-Corpo"/>
      </w:pPr>
    </w:p>
    <w:p w14:paraId="37E6163E" w14:textId="3334C077" w:rsidR="00DD7AF3" w:rsidRPr="003B6A75" w:rsidRDefault="003B6A75" w:rsidP="003B6A75">
      <w:pPr>
        <w:pStyle w:val="PL-Corpo"/>
        <w:ind w:left="4248"/>
      </w:pPr>
      <w:r w:rsidRPr="003B6A75">
        <w:t>Dispões sobre as Diretrizes para a elaboração da Lei Orçamentária do Exercício de 2025 e dá outras providências</w:t>
      </w:r>
      <w:r w:rsidRPr="003B6A75">
        <w:t>.</w:t>
      </w:r>
    </w:p>
    <w:p w14:paraId="10F01926" w14:textId="77777777" w:rsidR="00DD7AF3" w:rsidRPr="003B6A75" w:rsidRDefault="00DD7AF3" w:rsidP="003B6A75">
      <w:pPr>
        <w:pStyle w:val="PL-Corpo"/>
        <w:rPr>
          <w:rFonts w:ascii="Times New Roman" w:hAnsi="Times New Roman"/>
        </w:rPr>
      </w:pPr>
    </w:p>
    <w:p w14:paraId="644C5057" w14:textId="77777777" w:rsidR="00DD7AF3" w:rsidRPr="003B6A75" w:rsidRDefault="00DD7AF3" w:rsidP="003B6A75">
      <w:pPr>
        <w:pStyle w:val="PL-Corpo"/>
      </w:pPr>
      <w:r w:rsidRPr="003B6A75">
        <w:t xml:space="preserve"> </w:t>
      </w:r>
      <w:r w:rsidRPr="003B6A75">
        <w:tab/>
        <w:t>Faço saber que a Câmara Municipal aprovou e eu, Prefeito Municipal de Ibitiúra de Minas, sanciono e promulgo a seguinte Lei:</w:t>
      </w:r>
    </w:p>
    <w:p w14:paraId="44058DE5" w14:textId="77777777" w:rsidR="003B6A75" w:rsidRPr="003B6A75" w:rsidRDefault="003B6A75" w:rsidP="003B6A75">
      <w:pPr>
        <w:pStyle w:val="PL-Corpo"/>
      </w:pPr>
    </w:p>
    <w:p w14:paraId="48263C77" w14:textId="6ED573CD" w:rsidR="003B6A75" w:rsidRPr="003B6A75" w:rsidRDefault="00D8382C" w:rsidP="003B6A75">
      <w:pPr>
        <w:pStyle w:val="Ttulo9"/>
      </w:pPr>
      <w:r w:rsidRPr="003B6A75">
        <w:t>CAPÍTULO</w:t>
      </w:r>
      <w:r w:rsidR="003B6A75" w:rsidRPr="003B6A75">
        <w:t xml:space="preserve"> I</w:t>
      </w:r>
    </w:p>
    <w:p w14:paraId="4EBA5C70" w14:textId="77777777" w:rsidR="003B6A75" w:rsidRDefault="003B6A75" w:rsidP="003B6A75">
      <w:pPr>
        <w:pStyle w:val="Ttulo9"/>
      </w:pPr>
      <w:r>
        <w:t>DISPOSIÇÕES PRELIMINARES</w:t>
      </w:r>
    </w:p>
    <w:p w14:paraId="7DEA8D0C" w14:textId="67744CD8" w:rsidR="003B6A75" w:rsidRPr="003B6A75" w:rsidRDefault="003B6A75" w:rsidP="003B6A75">
      <w:pPr>
        <w:pStyle w:val="Ttulo9"/>
      </w:pPr>
    </w:p>
    <w:p w14:paraId="2A32142D" w14:textId="782883EF"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1º. São estabelecidas, em cumprimento ao disposto no </w:t>
      </w:r>
      <w:r>
        <w:rPr>
          <w:rFonts w:cs="Arial"/>
          <w:color w:val="000000"/>
        </w:rPr>
        <w:t>a</w:t>
      </w:r>
      <w:r w:rsidR="003B6A75" w:rsidRPr="003B6A75">
        <w:rPr>
          <w:rFonts w:cs="Arial"/>
          <w:color w:val="000000"/>
        </w:rPr>
        <w:t>rt. 165, § 2º, da Constituição Federal, e na Lei Complementar nº 101, de 4 de maio de 2000, as diretrizes para a elaboração da Lei Orçamentária do exercício financeiro de 2025, compreendendo:</w:t>
      </w:r>
    </w:p>
    <w:p w14:paraId="5E3CBDEA" w14:textId="344AD4D9"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a</w:t>
      </w:r>
      <w:r w:rsidR="003B6A75" w:rsidRPr="003B6A75">
        <w:rPr>
          <w:rFonts w:cs="Arial"/>
          <w:color w:val="000000"/>
        </w:rPr>
        <w:t>s metas e prioridades da Administração Pública Municipal;</w:t>
      </w:r>
    </w:p>
    <w:p w14:paraId="5B4EA35B" w14:textId="2EF15CA2"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a</w:t>
      </w:r>
      <w:r w:rsidR="003B6A75" w:rsidRPr="003B6A75">
        <w:rPr>
          <w:rFonts w:cs="Arial"/>
          <w:color w:val="000000"/>
        </w:rPr>
        <w:t>s orientações básicas para elaboração da Lei Orçamentária Anual;</w:t>
      </w:r>
    </w:p>
    <w:p w14:paraId="72DDC2BB" w14:textId="2908288A"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III – </w:t>
      </w:r>
      <w:r>
        <w:rPr>
          <w:rFonts w:cs="Arial"/>
          <w:color w:val="000000"/>
        </w:rPr>
        <w:t>a</w:t>
      </w:r>
      <w:r w:rsidR="003B6A75" w:rsidRPr="003B6A75">
        <w:rPr>
          <w:rFonts w:cs="Arial"/>
          <w:color w:val="000000"/>
        </w:rPr>
        <w:t>s disposições sobre a política de pessoal e serviços extraordinários;</w:t>
      </w:r>
    </w:p>
    <w:p w14:paraId="4084769F" w14:textId="000152B1"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IV – </w:t>
      </w:r>
      <w:r>
        <w:rPr>
          <w:rFonts w:cs="Arial"/>
          <w:color w:val="000000"/>
        </w:rPr>
        <w:t>a</w:t>
      </w:r>
      <w:r w:rsidR="003B6A75" w:rsidRPr="003B6A75">
        <w:rPr>
          <w:rFonts w:cs="Arial"/>
          <w:color w:val="000000"/>
        </w:rPr>
        <w:t>s disposições sobre as receitas, as alterações na legislação tributária e as medidas de combate à evasão e sonegação;</w:t>
      </w:r>
    </w:p>
    <w:p w14:paraId="34C780D0" w14:textId="7425F2F2"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 – </w:t>
      </w:r>
      <w:r>
        <w:rPr>
          <w:rFonts w:cs="Arial"/>
          <w:color w:val="000000"/>
        </w:rPr>
        <w:t>o</w:t>
      </w:r>
      <w:r w:rsidR="003B6A75" w:rsidRPr="003B6A75">
        <w:rPr>
          <w:rFonts w:cs="Arial"/>
          <w:color w:val="000000"/>
        </w:rPr>
        <w:t xml:space="preserve"> equilíbrio entre receitas e despesas;</w:t>
      </w:r>
    </w:p>
    <w:p w14:paraId="64A5773D" w14:textId="0DBAFB23"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 – </w:t>
      </w:r>
      <w:r>
        <w:rPr>
          <w:rFonts w:cs="Arial"/>
          <w:color w:val="000000"/>
        </w:rPr>
        <w:t>o</w:t>
      </w:r>
      <w:r w:rsidR="003B6A75" w:rsidRPr="003B6A75">
        <w:rPr>
          <w:rFonts w:cs="Arial"/>
          <w:color w:val="000000"/>
        </w:rPr>
        <w:t>s critérios e as formas de limitação de empenho;</w:t>
      </w:r>
    </w:p>
    <w:p w14:paraId="3ADC4A88" w14:textId="330AA1D1"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VII – </w:t>
      </w:r>
      <w:r>
        <w:rPr>
          <w:rFonts w:cs="Arial"/>
          <w:color w:val="000000"/>
        </w:rPr>
        <w:t>a</w:t>
      </w:r>
      <w:r w:rsidR="003B6A75" w:rsidRPr="003B6A75">
        <w:rPr>
          <w:rFonts w:cs="Arial"/>
          <w:color w:val="000000"/>
        </w:rPr>
        <w:t>s normas relativas ao controle de custos e a avaliação dos resultados dos programas financiados com recursos orçamentários;</w:t>
      </w:r>
    </w:p>
    <w:p w14:paraId="30242869" w14:textId="147F70DC"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VIII – </w:t>
      </w:r>
      <w:r>
        <w:rPr>
          <w:rFonts w:cs="Arial"/>
          <w:color w:val="000000"/>
        </w:rPr>
        <w:t>a</w:t>
      </w:r>
      <w:r w:rsidR="003B6A75" w:rsidRPr="003B6A75">
        <w:rPr>
          <w:rFonts w:cs="Arial"/>
          <w:color w:val="000000"/>
        </w:rPr>
        <w:t>s condições e exigências para transferências de recursos a entidades públicas e privadas;</w:t>
      </w:r>
    </w:p>
    <w:p w14:paraId="762F1849" w14:textId="01B71401"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IX – </w:t>
      </w:r>
      <w:r>
        <w:rPr>
          <w:rFonts w:cs="Arial"/>
          <w:color w:val="000000"/>
        </w:rPr>
        <w:t>a</w:t>
      </w:r>
      <w:r w:rsidR="003B6A75" w:rsidRPr="003B6A75">
        <w:rPr>
          <w:rFonts w:cs="Arial"/>
          <w:color w:val="000000"/>
        </w:rPr>
        <w:t xml:space="preserve"> autorização para o Município auxiliar o custeio de despesas atribuídas a outros entes da federação;</w:t>
      </w:r>
    </w:p>
    <w:p w14:paraId="7812B431" w14:textId="45401667"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X – </w:t>
      </w:r>
      <w:r>
        <w:rPr>
          <w:rFonts w:cs="Arial"/>
          <w:color w:val="000000"/>
        </w:rPr>
        <w:t>o</w:t>
      </w:r>
      <w:r w:rsidR="003B6A75" w:rsidRPr="003B6A75">
        <w:rPr>
          <w:rFonts w:cs="Arial"/>
          <w:color w:val="000000"/>
        </w:rPr>
        <w:t>s parâmetros para a elaboração da programação financeira e do cronograma mensal de desembolso;</w:t>
      </w:r>
    </w:p>
    <w:p w14:paraId="0097A1DB" w14:textId="3E6F7B6B"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XI – </w:t>
      </w:r>
      <w:r>
        <w:rPr>
          <w:rFonts w:cs="Arial"/>
          <w:color w:val="000000"/>
        </w:rPr>
        <w:t>a</w:t>
      </w:r>
      <w:r w:rsidR="003B6A75" w:rsidRPr="003B6A75">
        <w:rPr>
          <w:rFonts w:cs="Arial"/>
          <w:color w:val="000000"/>
        </w:rPr>
        <w:t xml:space="preserve"> definição de critérios para início de novos projetos;</w:t>
      </w:r>
    </w:p>
    <w:p w14:paraId="54291152" w14:textId="57D355EA"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XII – </w:t>
      </w:r>
      <w:r>
        <w:rPr>
          <w:rFonts w:cs="Arial"/>
          <w:color w:val="000000"/>
        </w:rPr>
        <w:t>a</w:t>
      </w:r>
      <w:r w:rsidR="003B6A75" w:rsidRPr="003B6A75">
        <w:rPr>
          <w:rFonts w:cs="Arial"/>
          <w:color w:val="000000"/>
        </w:rPr>
        <w:t xml:space="preserve"> definição das despesas consideradas irrelevantes;</w:t>
      </w:r>
    </w:p>
    <w:p w14:paraId="468A4A8F" w14:textId="01A64B7A"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XIII – </w:t>
      </w:r>
      <w:r>
        <w:rPr>
          <w:rFonts w:cs="Arial"/>
          <w:color w:val="000000"/>
        </w:rPr>
        <w:t>o</w:t>
      </w:r>
      <w:r w:rsidR="003B6A75" w:rsidRPr="003B6A75">
        <w:rPr>
          <w:rFonts w:cs="Arial"/>
          <w:color w:val="000000"/>
        </w:rPr>
        <w:t xml:space="preserve"> incentivo à participação popular;</w:t>
      </w:r>
    </w:p>
    <w:p w14:paraId="425B381A" w14:textId="150E90BE" w:rsidR="003B6A75" w:rsidRPr="003B6A75" w:rsidRDefault="00E11A20" w:rsidP="00E11A20">
      <w:pPr>
        <w:pStyle w:val="PL-Corpo"/>
      </w:pPr>
      <w:r>
        <w:t xml:space="preserve"> </w:t>
      </w:r>
      <w:r>
        <w:tab/>
      </w:r>
      <w:r w:rsidR="003B6A75" w:rsidRPr="003B6A75">
        <w:t xml:space="preserve">XIV – </w:t>
      </w:r>
      <w:r>
        <w:t>a</w:t>
      </w:r>
      <w:r w:rsidR="003B6A75" w:rsidRPr="003B6A75">
        <w:t>s disposições gerais.</w:t>
      </w:r>
    </w:p>
    <w:p w14:paraId="4084035B" w14:textId="77777777" w:rsidR="003B6A75" w:rsidRPr="003B6A75" w:rsidRDefault="003B6A75" w:rsidP="00E11A20">
      <w:pPr>
        <w:pStyle w:val="PL-Corpo"/>
      </w:pPr>
    </w:p>
    <w:p w14:paraId="23817F98" w14:textId="1FE1C6D5" w:rsidR="003B6A75" w:rsidRPr="003B6A75" w:rsidRDefault="00D8382C" w:rsidP="00E11A20">
      <w:pPr>
        <w:pStyle w:val="Captulo-PL"/>
      </w:pPr>
      <w:r w:rsidRPr="003B6A75">
        <w:t>CAPÍTULO</w:t>
      </w:r>
      <w:r w:rsidR="003B6A75" w:rsidRPr="003B6A75">
        <w:t xml:space="preserve"> II</w:t>
      </w:r>
    </w:p>
    <w:p w14:paraId="3A08B346" w14:textId="1FEA8426" w:rsidR="003B6A75" w:rsidRPr="003B6A75" w:rsidRDefault="00E11A20" w:rsidP="00E11A20">
      <w:pPr>
        <w:pStyle w:val="Captulo-PL"/>
      </w:pPr>
      <w:r w:rsidRPr="003B6A75">
        <w:t>DIRETRIZES ORÇAMENTÁRIAS</w:t>
      </w:r>
    </w:p>
    <w:p w14:paraId="5AD2AB65" w14:textId="77777777" w:rsidR="00E11A20" w:rsidRDefault="00E11A20" w:rsidP="003B6A75">
      <w:pPr>
        <w:pStyle w:val="PL-Corpo"/>
        <w:rPr>
          <w:rFonts w:cs="Arial"/>
          <w:color w:val="000000"/>
        </w:rPr>
      </w:pPr>
    </w:p>
    <w:p w14:paraId="0B187987" w14:textId="77777777" w:rsidR="00E11A20" w:rsidRDefault="003B6A75" w:rsidP="00E11A20">
      <w:pPr>
        <w:pStyle w:val="Captulo-PL"/>
      </w:pPr>
      <w:r w:rsidRPr="003B6A75">
        <w:t>Seção I</w:t>
      </w:r>
    </w:p>
    <w:p w14:paraId="7AD26216" w14:textId="6435F503" w:rsidR="003B6A75" w:rsidRPr="003B6A75" w:rsidRDefault="003B6A75" w:rsidP="00E11A20">
      <w:pPr>
        <w:pStyle w:val="Captulo-PL"/>
      </w:pPr>
      <w:r w:rsidRPr="003B6A75">
        <w:t>As Metas e as Prioridades da Administração Pública Municipal</w:t>
      </w:r>
    </w:p>
    <w:p w14:paraId="39E15A3C" w14:textId="77777777" w:rsidR="00E11A20" w:rsidRDefault="00E11A20" w:rsidP="003B6A75">
      <w:pPr>
        <w:pStyle w:val="PL-Corpo"/>
        <w:rPr>
          <w:rFonts w:cs="Arial"/>
          <w:color w:val="000000"/>
        </w:rPr>
      </w:pPr>
    </w:p>
    <w:p w14:paraId="7409E824" w14:textId="558D48D3"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2º. Em consonância com o disposto no art. 165, § 2º, da Constituição da República, atendidas as despesas que constituem obrigação constitucional ou legal do Município, as ações relativas à manutenção e funcionamento dos órgãos da administração direta, as metas e as prioridades para o exercício financeiro de 2025 corresponderão às ações especificadas no </w:t>
      </w:r>
      <w:r w:rsidR="003B6A75" w:rsidRPr="003B6A75">
        <w:rPr>
          <w:rFonts w:cs="Arial"/>
          <w:color w:val="000000"/>
        </w:rPr>
        <w:lastRenderedPageBreak/>
        <w:t xml:space="preserve">Anexo de Metas e Prioridades que integrará esta Lei, de acordo com os programas e ações estabelecidos no Plano Plurianual relativo ao período de 2022 </w:t>
      </w:r>
      <w:r>
        <w:rPr>
          <w:rFonts w:cs="Arial"/>
          <w:color w:val="000000"/>
        </w:rPr>
        <w:t>a</w:t>
      </w:r>
      <w:r w:rsidR="003B6A75" w:rsidRPr="003B6A75">
        <w:rPr>
          <w:rFonts w:cs="Arial"/>
          <w:color w:val="000000"/>
        </w:rPr>
        <w:t xml:space="preserve"> 2025, as quais terão precedência na alocação de recursos na lei orçamentária de 2025 e na sua execução, não se constituindo, todavia, em limite à programação das despesas.</w:t>
      </w:r>
    </w:p>
    <w:p w14:paraId="3B1B9A8D" w14:textId="49C4AA10"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 1º. O projeto de Lei Orçamentária para 2025 deverá ser elaborado em consonância com as metas e prioridades estabelecidas na forma do </w:t>
      </w:r>
      <w:r w:rsidR="003B6A75" w:rsidRPr="001171B7">
        <w:rPr>
          <w:rFonts w:cs="Arial"/>
          <w:i/>
          <w:iCs/>
          <w:color w:val="000000"/>
        </w:rPr>
        <w:t>caput</w:t>
      </w:r>
      <w:r w:rsidR="003B6A75" w:rsidRPr="003B6A75">
        <w:rPr>
          <w:rFonts w:cs="Arial"/>
          <w:color w:val="000000"/>
        </w:rPr>
        <w:t xml:space="preserve"> deste artigo.</w:t>
      </w:r>
    </w:p>
    <w:p w14:paraId="2D04D53C" w14:textId="23BC0EF3"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 2º. O projeto de Lei Orçamentária para 2025 conterá demonstrativo da observância das metas e prioridades estabelecidas na forma do </w:t>
      </w:r>
      <w:r w:rsidR="003B6A75" w:rsidRPr="001171B7">
        <w:rPr>
          <w:rFonts w:cs="Arial"/>
          <w:i/>
          <w:iCs/>
          <w:color w:val="000000"/>
        </w:rPr>
        <w:t>caput</w:t>
      </w:r>
      <w:r w:rsidR="003B6A75" w:rsidRPr="003B6A75">
        <w:rPr>
          <w:rFonts w:cs="Arial"/>
          <w:color w:val="000000"/>
        </w:rPr>
        <w:t xml:space="preserve"> deste artigo.</w:t>
      </w:r>
    </w:p>
    <w:p w14:paraId="2D75399D" w14:textId="588E087B"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 3º. As Metas e Prioridades da Administração Pública Municipal para o exercício financeiro de 2025, definidas no Plano Plurianual relativo ao período 2022 </w:t>
      </w:r>
      <w:r>
        <w:rPr>
          <w:rFonts w:cs="Arial"/>
          <w:color w:val="000000"/>
        </w:rPr>
        <w:t xml:space="preserve">a </w:t>
      </w:r>
      <w:r w:rsidR="003B6A75" w:rsidRPr="003B6A75">
        <w:rPr>
          <w:rFonts w:cs="Arial"/>
          <w:color w:val="000000"/>
        </w:rPr>
        <w:t>2025, terão precedência na alocação de recursos na lei orçamentária de 2025 e na sua execução, não se constituindo, todavia, em limite à programação das despesas.</w:t>
      </w:r>
    </w:p>
    <w:p w14:paraId="052FF536" w14:textId="77777777" w:rsidR="003B6A75" w:rsidRPr="003B6A75" w:rsidRDefault="003B6A75" w:rsidP="003B6A75">
      <w:pPr>
        <w:pStyle w:val="PL-Corpo"/>
        <w:rPr>
          <w:rFonts w:cs="Arial"/>
          <w:color w:val="000000"/>
        </w:rPr>
      </w:pPr>
    </w:p>
    <w:p w14:paraId="17B4F9E9" w14:textId="77777777" w:rsidR="00E11A20" w:rsidRDefault="003B6A75" w:rsidP="00E11A20">
      <w:pPr>
        <w:pStyle w:val="Seo-PL"/>
      </w:pPr>
      <w:r w:rsidRPr="003B6A75">
        <w:t>Seção II</w:t>
      </w:r>
    </w:p>
    <w:p w14:paraId="1BDEBC6F" w14:textId="14E40C74" w:rsidR="003B6A75" w:rsidRPr="003B6A75" w:rsidRDefault="003B6A75" w:rsidP="00E11A20">
      <w:pPr>
        <w:pStyle w:val="Seo-PL"/>
      </w:pPr>
      <w:r w:rsidRPr="003B6A75">
        <w:t>As Orientações Básicas para Elaboração da Lei Orçamentária Anual</w:t>
      </w:r>
    </w:p>
    <w:p w14:paraId="27ABA2F2" w14:textId="77777777" w:rsidR="00E11A20" w:rsidRDefault="00E11A20" w:rsidP="003B6A75">
      <w:pPr>
        <w:pStyle w:val="PL-Corpo"/>
        <w:rPr>
          <w:rFonts w:cs="Arial"/>
          <w:color w:val="000000"/>
        </w:rPr>
      </w:pPr>
    </w:p>
    <w:p w14:paraId="4413826B" w14:textId="77777777" w:rsidR="00D4567A" w:rsidRDefault="003B6A75" w:rsidP="00E11A20">
      <w:pPr>
        <w:pStyle w:val="Seo-PL"/>
      </w:pPr>
      <w:r w:rsidRPr="003B6A75">
        <w:t>Subseção I</w:t>
      </w:r>
    </w:p>
    <w:p w14:paraId="4AEFC16B" w14:textId="2331AF01" w:rsidR="003B6A75" w:rsidRPr="003B6A75" w:rsidRDefault="003B6A75" w:rsidP="00E11A20">
      <w:pPr>
        <w:pStyle w:val="Seo-PL"/>
      </w:pPr>
      <w:r w:rsidRPr="003B6A75">
        <w:t>Das Diretrizes Gerais</w:t>
      </w:r>
    </w:p>
    <w:p w14:paraId="126B3BA5" w14:textId="77777777" w:rsidR="00E11A20" w:rsidRDefault="00E11A20" w:rsidP="003B6A75">
      <w:pPr>
        <w:pStyle w:val="PL-Corpo"/>
        <w:rPr>
          <w:rFonts w:cs="Arial"/>
          <w:color w:val="000000"/>
        </w:rPr>
      </w:pPr>
    </w:p>
    <w:p w14:paraId="6ADC1091" w14:textId="76BBE247"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3º. As categorias de programação de que trata esta Lei, serão identificadas por unidades orçamentárias, funções, subfunções, programas, atividades, projetos, operações especiais, assim como a classificação segundo a natureza de despesa, de acordo com as codificações da Portaria SOF nº 42</w:t>
      </w:r>
      <w:r>
        <w:rPr>
          <w:rFonts w:cs="Arial"/>
          <w:color w:val="000000"/>
        </w:rPr>
        <w:t xml:space="preserve">, de </w:t>
      </w:r>
      <w:r w:rsidR="003B6A75" w:rsidRPr="003B6A75">
        <w:rPr>
          <w:rFonts w:cs="Arial"/>
          <w:color w:val="000000"/>
        </w:rPr>
        <w:t>1999, da Portaria Interministerial STN/SOF nº 163</w:t>
      </w:r>
      <w:r>
        <w:rPr>
          <w:rFonts w:cs="Arial"/>
          <w:color w:val="000000"/>
        </w:rPr>
        <w:t xml:space="preserve">, de </w:t>
      </w:r>
      <w:r w:rsidR="003B6A75" w:rsidRPr="003B6A75">
        <w:rPr>
          <w:rFonts w:cs="Arial"/>
          <w:color w:val="000000"/>
        </w:rPr>
        <w:t>2001</w:t>
      </w:r>
      <w:r>
        <w:rPr>
          <w:rFonts w:cs="Arial"/>
          <w:color w:val="000000"/>
        </w:rPr>
        <w:t>,</w:t>
      </w:r>
      <w:r w:rsidR="003B6A75" w:rsidRPr="003B6A75">
        <w:rPr>
          <w:rFonts w:cs="Arial"/>
          <w:color w:val="000000"/>
        </w:rPr>
        <w:t xml:space="preserve"> e suas alterações posteriores e da Lei do Plano Plurianual relativo ao período 2022 </w:t>
      </w:r>
      <w:r>
        <w:rPr>
          <w:rFonts w:cs="Arial"/>
          <w:color w:val="000000"/>
        </w:rPr>
        <w:t>a</w:t>
      </w:r>
      <w:r w:rsidR="003B6A75" w:rsidRPr="003B6A75">
        <w:rPr>
          <w:rFonts w:cs="Arial"/>
          <w:color w:val="000000"/>
        </w:rPr>
        <w:t xml:space="preserve"> 2025.</w:t>
      </w:r>
    </w:p>
    <w:p w14:paraId="023D0111" w14:textId="77777777" w:rsidR="00E11A20" w:rsidRDefault="00E11A20" w:rsidP="003B6A75">
      <w:pPr>
        <w:pStyle w:val="PL-Corpo"/>
        <w:rPr>
          <w:rFonts w:cs="Arial"/>
          <w:color w:val="000000"/>
        </w:rPr>
      </w:pPr>
    </w:p>
    <w:p w14:paraId="17747DB2" w14:textId="3831B0B4"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4º. O </w:t>
      </w:r>
      <w:r>
        <w:rPr>
          <w:rFonts w:cs="Arial"/>
          <w:color w:val="000000"/>
        </w:rPr>
        <w:t>O</w:t>
      </w:r>
      <w:r w:rsidR="003B6A75" w:rsidRPr="003B6A75">
        <w:rPr>
          <w:rFonts w:cs="Arial"/>
          <w:color w:val="000000"/>
        </w:rPr>
        <w:t xml:space="preserve">rçamento </w:t>
      </w:r>
      <w:r>
        <w:rPr>
          <w:rFonts w:cs="Arial"/>
          <w:color w:val="000000"/>
        </w:rPr>
        <w:t>F</w:t>
      </w:r>
      <w:r w:rsidR="003B6A75" w:rsidRPr="003B6A75">
        <w:rPr>
          <w:rFonts w:cs="Arial"/>
          <w:color w:val="000000"/>
        </w:rPr>
        <w:t>iscal e de investimentos discriminará a despesa, no mínimo, por elemento de despesa, conforme Art.</w:t>
      </w:r>
      <w:r>
        <w:rPr>
          <w:rFonts w:cs="Arial"/>
          <w:color w:val="000000"/>
        </w:rPr>
        <w:t xml:space="preserve"> </w:t>
      </w:r>
      <w:r w:rsidR="003B6A75" w:rsidRPr="003B6A75">
        <w:rPr>
          <w:rFonts w:cs="Arial"/>
          <w:color w:val="000000"/>
        </w:rPr>
        <w:t>15 da Lei nº 4.320</w:t>
      </w:r>
      <w:r>
        <w:rPr>
          <w:rFonts w:cs="Arial"/>
          <w:color w:val="000000"/>
        </w:rPr>
        <w:t>, de 19</w:t>
      </w:r>
      <w:r w:rsidR="003B6A75" w:rsidRPr="003B6A75">
        <w:rPr>
          <w:rFonts w:cs="Arial"/>
          <w:color w:val="000000"/>
        </w:rPr>
        <w:t>64.</w:t>
      </w:r>
    </w:p>
    <w:p w14:paraId="00D2549A" w14:textId="77777777" w:rsidR="00E11A20" w:rsidRDefault="00E11A20" w:rsidP="003B6A75">
      <w:pPr>
        <w:pStyle w:val="PL-Corpo"/>
        <w:rPr>
          <w:rFonts w:cs="Arial"/>
          <w:color w:val="000000"/>
        </w:rPr>
      </w:pPr>
    </w:p>
    <w:p w14:paraId="6B06C23E" w14:textId="7E356694" w:rsidR="003B6A75" w:rsidRPr="003B6A75" w:rsidRDefault="00E11A20"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5º. O </w:t>
      </w:r>
      <w:r>
        <w:rPr>
          <w:rFonts w:cs="Arial"/>
          <w:color w:val="000000"/>
        </w:rPr>
        <w:t>O</w:t>
      </w:r>
      <w:r w:rsidR="003B6A75" w:rsidRPr="003B6A75">
        <w:rPr>
          <w:rFonts w:cs="Arial"/>
          <w:color w:val="000000"/>
        </w:rPr>
        <w:t xml:space="preserve">rçamento </w:t>
      </w:r>
      <w:r>
        <w:rPr>
          <w:rFonts w:cs="Arial"/>
          <w:color w:val="000000"/>
        </w:rPr>
        <w:t>F</w:t>
      </w:r>
      <w:r w:rsidR="003B6A75" w:rsidRPr="003B6A75">
        <w:rPr>
          <w:rFonts w:cs="Arial"/>
          <w:color w:val="000000"/>
        </w:rPr>
        <w:t>iscal e de investimentos compreenderá a programação do Poder Executivo e Legislativo, devendo a correspondente execução orçamentária e financeira ser consolidada no órgão central de contabilidade do município.</w:t>
      </w:r>
    </w:p>
    <w:p w14:paraId="0EFFFC20" w14:textId="77777777" w:rsidR="00D4567A" w:rsidRDefault="00D4567A" w:rsidP="003B6A75">
      <w:pPr>
        <w:pStyle w:val="PL-Corpo"/>
        <w:rPr>
          <w:rFonts w:cs="Arial"/>
          <w:color w:val="000000"/>
        </w:rPr>
      </w:pPr>
    </w:p>
    <w:p w14:paraId="7D56C7A5" w14:textId="50FB59DE"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6º. O projeto de Lei Orçamentária que o Poder Executivo encaminhará à Câmara Municipal será constituído de:</w:t>
      </w:r>
    </w:p>
    <w:p w14:paraId="0536005A" w14:textId="366F85C5"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t</w:t>
      </w:r>
      <w:r w:rsidR="003B6A75" w:rsidRPr="003B6A75">
        <w:rPr>
          <w:rFonts w:cs="Arial"/>
          <w:color w:val="000000"/>
        </w:rPr>
        <w:t>exto da lei;</w:t>
      </w:r>
    </w:p>
    <w:p w14:paraId="03B83678" w14:textId="0F71F8D8"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d</w:t>
      </w:r>
      <w:r w:rsidR="003B6A75" w:rsidRPr="003B6A75">
        <w:rPr>
          <w:rFonts w:cs="Arial"/>
          <w:color w:val="000000"/>
        </w:rPr>
        <w:t>ocumentos referenciados nos artigos 2º e 22 da Lei nº 4.320</w:t>
      </w:r>
      <w:r>
        <w:rPr>
          <w:rFonts w:cs="Arial"/>
          <w:color w:val="000000"/>
        </w:rPr>
        <w:t xml:space="preserve">, de </w:t>
      </w:r>
      <w:r w:rsidR="003B6A75" w:rsidRPr="003B6A75">
        <w:rPr>
          <w:rFonts w:cs="Arial"/>
          <w:color w:val="000000"/>
        </w:rPr>
        <w:t>1964;</w:t>
      </w:r>
    </w:p>
    <w:p w14:paraId="4D0E4ECB" w14:textId="0DC8739D"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III – </w:t>
      </w:r>
      <w:r>
        <w:rPr>
          <w:rFonts w:cs="Arial"/>
          <w:color w:val="000000"/>
        </w:rPr>
        <w:t>q</w:t>
      </w:r>
      <w:r w:rsidR="003B6A75" w:rsidRPr="003B6A75">
        <w:rPr>
          <w:rFonts w:cs="Arial"/>
          <w:color w:val="000000"/>
        </w:rPr>
        <w:t>uadro orçamentário consolidado;</w:t>
      </w:r>
    </w:p>
    <w:p w14:paraId="38F19A3D" w14:textId="0F280611"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IV – </w:t>
      </w:r>
      <w:r>
        <w:rPr>
          <w:rFonts w:cs="Arial"/>
          <w:color w:val="000000"/>
        </w:rPr>
        <w:t>a</w:t>
      </w:r>
      <w:r w:rsidR="003B6A75" w:rsidRPr="003B6A75">
        <w:rPr>
          <w:rFonts w:cs="Arial"/>
          <w:color w:val="000000"/>
        </w:rPr>
        <w:t xml:space="preserve">nexo do </w:t>
      </w:r>
      <w:r>
        <w:rPr>
          <w:rFonts w:cs="Arial"/>
          <w:color w:val="000000"/>
        </w:rPr>
        <w:t>O</w:t>
      </w:r>
      <w:r w:rsidR="003B6A75" w:rsidRPr="003B6A75">
        <w:rPr>
          <w:rFonts w:cs="Arial"/>
          <w:color w:val="000000"/>
        </w:rPr>
        <w:t xml:space="preserve">rçamento </w:t>
      </w:r>
      <w:r>
        <w:rPr>
          <w:rFonts w:cs="Arial"/>
          <w:color w:val="000000"/>
        </w:rPr>
        <w:t>F</w:t>
      </w:r>
      <w:r w:rsidR="003B6A75" w:rsidRPr="003B6A75">
        <w:rPr>
          <w:rFonts w:cs="Arial"/>
          <w:color w:val="000000"/>
        </w:rPr>
        <w:t>iscal, discriminando a receita e a despesa na forma definida nesta Lei;</w:t>
      </w:r>
    </w:p>
    <w:p w14:paraId="27B6DD7E" w14:textId="7CF41C85"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 – </w:t>
      </w:r>
      <w:r>
        <w:rPr>
          <w:rFonts w:cs="Arial"/>
          <w:color w:val="000000"/>
        </w:rPr>
        <w:t>d</w:t>
      </w:r>
      <w:r w:rsidR="003B6A75" w:rsidRPr="003B6A75">
        <w:rPr>
          <w:rFonts w:cs="Arial"/>
          <w:color w:val="000000"/>
        </w:rPr>
        <w:t xml:space="preserve">emonstrativos e documentos previstos no </w:t>
      </w:r>
      <w:r>
        <w:rPr>
          <w:rFonts w:cs="Arial"/>
          <w:color w:val="000000"/>
        </w:rPr>
        <w:t>a</w:t>
      </w:r>
      <w:r w:rsidR="003B6A75" w:rsidRPr="003B6A75">
        <w:rPr>
          <w:rFonts w:cs="Arial"/>
          <w:color w:val="000000"/>
        </w:rPr>
        <w:t>rt. 5º da Lei Complementar nº 101</w:t>
      </w:r>
      <w:r>
        <w:rPr>
          <w:rFonts w:cs="Arial"/>
          <w:color w:val="000000"/>
        </w:rPr>
        <w:t xml:space="preserve">, de </w:t>
      </w:r>
      <w:r w:rsidR="003B6A75" w:rsidRPr="003B6A75">
        <w:rPr>
          <w:rFonts w:cs="Arial"/>
          <w:color w:val="000000"/>
        </w:rPr>
        <w:t>2000;</w:t>
      </w:r>
    </w:p>
    <w:p w14:paraId="2D5C019E" w14:textId="0B9B36D9"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 – </w:t>
      </w:r>
      <w:r>
        <w:rPr>
          <w:rFonts w:cs="Arial"/>
          <w:color w:val="000000"/>
        </w:rPr>
        <w:t>a</w:t>
      </w:r>
      <w:r w:rsidR="003B6A75" w:rsidRPr="003B6A75">
        <w:rPr>
          <w:rFonts w:cs="Arial"/>
          <w:color w:val="000000"/>
        </w:rPr>
        <w:t xml:space="preserve">nexo do </w:t>
      </w:r>
      <w:r>
        <w:rPr>
          <w:rFonts w:cs="Arial"/>
          <w:color w:val="000000"/>
        </w:rPr>
        <w:t>O</w:t>
      </w:r>
      <w:r w:rsidR="003B6A75" w:rsidRPr="003B6A75">
        <w:rPr>
          <w:rFonts w:cs="Arial"/>
          <w:color w:val="000000"/>
        </w:rPr>
        <w:t xml:space="preserve">rçamento de </w:t>
      </w:r>
      <w:r>
        <w:rPr>
          <w:rFonts w:cs="Arial"/>
          <w:color w:val="000000"/>
        </w:rPr>
        <w:t>I</w:t>
      </w:r>
      <w:r w:rsidR="003B6A75" w:rsidRPr="003B6A75">
        <w:rPr>
          <w:rFonts w:cs="Arial"/>
          <w:color w:val="000000"/>
        </w:rPr>
        <w:t xml:space="preserve">nvestimento a que se refere o </w:t>
      </w:r>
      <w:r>
        <w:rPr>
          <w:rFonts w:cs="Arial"/>
          <w:color w:val="000000"/>
        </w:rPr>
        <w:t>a</w:t>
      </w:r>
      <w:r w:rsidR="003B6A75" w:rsidRPr="003B6A75">
        <w:rPr>
          <w:rFonts w:cs="Arial"/>
          <w:color w:val="000000"/>
        </w:rPr>
        <w:t>rt. 165, § 5º, inciso II, da Constituição Federal, na forma definida nesta Lei.</w:t>
      </w:r>
    </w:p>
    <w:p w14:paraId="3DB6D1E1" w14:textId="2E328AA4"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Parágrafo Único. Acompanharão a proposta orçamentária, além dos demonstrativos exigidos pela legislação em vigor, definidos no </w:t>
      </w:r>
      <w:r w:rsidR="003B6A75" w:rsidRPr="00D4567A">
        <w:rPr>
          <w:rFonts w:cs="Arial"/>
          <w:i/>
          <w:iCs/>
          <w:color w:val="000000"/>
        </w:rPr>
        <w:t>caput</w:t>
      </w:r>
      <w:r w:rsidR="003B6A75" w:rsidRPr="003B6A75">
        <w:rPr>
          <w:rFonts w:cs="Arial"/>
          <w:color w:val="000000"/>
        </w:rPr>
        <w:t>, os seguintes demonstrativos:</w:t>
      </w:r>
    </w:p>
    <w:p w14:paraId="299E8985" w14:textId="4A96D28F" w:rsidR="003B6A75" w:rsidRPr="003B6A75" w:rsidRDefault="00D4567A" w:rsidP="003B6A75">
      <w:pPr>
        <w:pStyle w:val="PL-Corpo"/>
        <w:rPr>
          <w:rFonts w:cs="Arial"/>
          <w:color w:val="000000"/>
        </w:rPr>
      </w:pPr>
      <w:r>
        <w:rPr>
          <w:rFonts w:cs="Arial"/>
          <w:color w:val="000000"/>
        </w:rPr>
        <w:lastRenderedPageBreak/>
        <w:t xml:space="preserve"> </w:t>
      </w:r>
      <w:r>
        <w:rPr>
          <w:rFonts w:cs="Arial"/>
          <w:color w:val="000000"/>
        </w:rPr>
        <w:tab/>
      </w:r>
      <w:r w:rsidR="003B6A75" w:rsidRPr="003B6A75">
        <w:rPr>
          <w:rFonts w:cs="Arial"/>
          <w:color w:val="000000"/>
        </w:rPr>
        <w:t xml:space="preserve">I – </w:t>
      </w:r>
      <w:r>
        <w:rPr>
          <w:rFonts w:cs="Arial"/>
          <w:color w:val="000000"/>
        </w:rPr>
        <w:t>d</w:t>
      </w:r>
      <w:r w:rsidR="003B6A75" w:rsidRPr="003B6A75">
        <w:rPr>
          <w:rFonts w:cs="Arial"/>
          <w:color w:val="000000"/>
        </w:rPr>
        <w:t xml:space="preserve">emonstrativo da receita corrente líquida, de acordo com o </w:t>
      </w:r>
      <w:r>
        <w:rPr>
          <w:rFonts w:cs="Arial"/>
          <w:color w:val="000000"/>
        </w:rPr>
        <w:t>a</w:t>
      </w:r>
      <w:r w:rsidR="003B6A75" w:rsidRPr="003B6A75">
        <w:rPr>
          <w:rFonts w:cs="Arial"/>
          <w:color w:val="000000"/>
        </w:rPr>
        <w:t>rt. 2º, inciso IV</w:t>
      </w:r>
      <w:r>
        <w:rPr>
          <w:rFonts w:cs="Arial"/>
          <w:color w:val="000000"/>
        </w:rPr>
        <w:t>,</w:t>
      </w:r>
      <w:r w:rsidR="003B6A75" w:rsidRPr="003B6A75">
        <w:rPr>
          <w:rFonts w:cs="Arial"/>
          <w:color w:val="000000"/>
        </w:rPr>
        <w:t xml:space="preserve"> da Lei Complementar nº 101</w:t>
      </w:r>
      <w:r>
        <w:rPr>
          <w:rFonts w:cs="Arial"/>
          <w:color w:val="000000"/>
        </w:rPr>
        <w:t xml:space="preserve">, de </w:t>
      </w:r>
      <w:r w:rsidR="003B6A75" w:rsidRPr="003B6A75">
        <w:rPr>
          <w:rFonts w:cs="Arial"/>
          <w:color w:val="000000"/>
        </w:rPr>
        <w:t>2000;</w:t>
      </w:r>
    </w:p>
    <w:p w14:paraId="420E728E" w14:textId="53F0D385" w:rsidR="003B6A75" w:rsidRPr="003B6A75" w:rsidRDefault="00D4567A" w:rsidP="00D4567A">
      <w:pPr>
        <w:pStyle w:val="PL-Corpo"/>
      </w:pPr>
      <w:r>
        <w:t xml:space="preserve"> </w:t>
      </w:r>
      <w:r>
        <w:tab/>
      </w:r>
      <w:r w:rsidR="003B6A75" w:rsidRPr="003B6A75">
        <w:t xml:space="preserve">II – </w:t>
      </w:r>
      <w:r>
        <w:t>d</w:t>
      </w:r>
      <w:r w:rsidR="003B6A75" w:rsidRPr="003B6A75">
        <w:t xml:space="preserve">emonstrativo dos recursos a serem aplicados na manutenção e desenvolvimento do ensino, para fins do atendimento do disposto no </w:t>
      </w:r>
      <w:r>
        <w:t>a</w:t>
      </w:r>
      <w:r w:rsidR="003B6A75" w:rsidRPr="003B6A75">
        <w:t xml:space="preserve">rt. 212 da Constituição Federal e no </w:t>
      </w:r>
      <w:r>
        <w:t>a</w:t>
      </w:r>
      <w:r w:rsidR="003B6A75" w:rsidRPr="003B6A75">
        <w:t>rt. 60 do Ato das Disposições Constitucionais Transitórias;</w:t>
      </w:r>
    </w:p>
    <w:p w14:paraId="3F4D971D" w14:textId="2752C5AD" w:rsidR="003B6A75" w:rsidRPr="003B6A75" w:rsidRDefault="00D4567A" w:rsidP="00D4567A">
      <w:pPr>
        <w:pStyle w:val="PL-Corpo"/>
      </w:pPr>
      <w:r>
        <w:t xml:space="preserve"> </w:t>
      </w:r>
      <w:r>
        <w:tab/>
      </w:r>
      <w:r w:rsidR="003B6A75" w:rsidRPr="003B6A75">
        <w:t xml:space="preserve">III – </w:t>
      </w:r>
      <w:r>
        <w:t>d</w:t>
      </w:r>
      <w:r w:rsidR="003B6A75" w:rsidRPr="003B6A75">
        <w:t xml:space="preserve">emonstrativo dos recursos a serem aplicados no FUNDEB – Fundo de Manutenção e Desenvolvimento da Educação Básica e de Valorização dos profissionais da Educação, conf. </w:t>
      </w:r>
      <w:r>
        <w:t>a</w:t>
      </w:r>
      <w:r w:rsidR="003B6A75" w:rsidRPr="003B6A75">
        <w:t xml:space="preserve">rt. 60 do ADCT, com alterações </w:t>
      </w:r>
      <w:r>
        <w:t>d</w:t>
      </w:r>
      <w:r w:rsidR="003B6A75" w:rsidRPr="003B6A75">
        <w:t>a EC 53</w:t>
      </w:r>
      <w:r>
        <w:t xml:space="preserve">, de </w:t>
      </w:r>
      <w:r w:rsidR="003B6A75" w:rsidRPr="003B6A75">
        <w:t>2006</w:t>
      </w:r>
      <w:r>
        <w:t>,</w:t>
      </w:r>
      <w:r w:rsidR="003B6A75" w:rsidRPr="003B6A75">
        <w:t xml:space="preserve"> e Lei Federal nº 14.113 de 25</w:t>
      </w:r>
      <w:r>
        <w:t>.</w:t>
      </w:r>
      <w:r w:rsidR="003B6A75" w:rsidRPr="003B6A75">
        <w:t>12</w:t>
      </w:r>
      <w:r>
        <w:t>.</w:t>
      </w:r>
      <w:r w:rsidR="003B6A75" w:rsidRPr="003B6A75">
        <w:t>2020;</w:t>
      </w:r>
    </w:p>
    <w:p w14:paraId="1EAB1219" w14:textId="3890C8F9" w:rsidR="003B6A75" w:rsidRPr="003B6A75" w:rsidRDefault="003B6A75" w:rsidP="00D4567A">
      <w:pPr>
        <w:pStyle w:val="PL-Corpo"/>
        <w:ind w:firstLine="708"/>
        <w:rPr>
          <w:rFonts w:cs="Arial"/>
          <w:color w:val="000000"/>
        </w:rPr>
      </w:pPr>
      <w:r w:rsidRPr="003B6A75">
        <w:rPr>
          <w:rFonts w:cs="Arial"/>
          <w:color w:val="000000"/>
        </w:rPr>
        <w:t xml:space="preserve">IV – </w:t>
      </w:r>
      <w:r w:rsidR="00D4567A">
        <w:rPr>
          <w:rFonts w:cs="Arial"/>
          <w:color w:val="000000"/>
        </w:rPr>
        <w:t>d</w:t>
      </w:r>
      <w:r w:rsidRPr="003B6A75">
        <w:rPr>
          <w:rFonts w:cs="Arial"/>
          <w:color w:val="000000"/>
        </w:rPr>
        <w:t>emonstrativo dos recursos a ser</w:t>
      </w:r>
      <w:r w:rsidR="00D4567A">
        <w:rPr>
          <w:rFonts w:cs="Arial"/>
          <w:color w:val="000000"/>
        </w:rPr>
        <w:t>em</w:t>
      </w:r>
      <w:r w:rsidRPr="003B6A75">
        <w:rPr>
          <w:rFonts w:cs="Arial"/>
          <w:color w:val="000000"/>
        </w:rPr>
        <w:t xml:space="preserve"> aplicado</w:t>
      </w:r>
      <w:r w:rsidR="00D4567A">
        <w:rPr>
          <w:rFonts w:cs="Arial"/>
          <w:color w:val="000000"/>
        </w:rPr>
        <w:t>s</w:t>
      </w:r>
      <w:r w:rsidRPr="003B6A75">
        <w:rPr>
          <w:rFonts w:cs="Arial"/>
          <w:color w:val="000000"/>
        </w:rPr>
        <w:t xml:space="preserve"> nas ações e serviços públicos de saúde, para fins do atendimento disposto na Emenda Constitucional nº 29</w:t>
      </w:r>
      <w:r w:rsidR="00D4567A">
        <w:rPr>
          <w:rFonts w:cs="Arial"/>
          <w:color w:val="000000"/>
        </w:rPr>
        <w:t xml:space="preserve">, de </w:t>
      </w:r>
      <w:r w:rsidRPr="003B6A75">
        <w:rPr>
          <w:rFonts w:cs="Arial"/>
          <w:color w:val="000000"/>
        </w:rPr>
        <w:t>2000;</w:t>
      </w:r>
    </w:p>
    <w:p w14:paraId="23E20567" w14:textId="696C3ADF"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 – </w:t>
      </w:r>
      <w:r>
        <w:rPr>
          <w:rFonts w:cs="Arial"/>
          <w:color w:val="000000"/>
        </w:rPr>
        <w:t>d</w:t>
      </w:r>
      <w:r w:rsidR="003B6A75" w:rsidRPr="003B6A75">
        <w:rPr>
          <w:rFonts w:cs="Arial"/>
          <w:color w:val="000000"/>
        </w:rPr>
        <w:t xml:space="preserve">emonstrativo da despesa com pessoal, para fins do atendimento do disposto no </w:t>
      </w:r>
      <w:r>
        <w:rPr>
          <w:rFonts w:cs="Arial"/>
          <w:color w:val="000000"/>
        </w:rPr>
        <w:t>a</w:t>
      </w:r>
      <w:r w:rsidR="003B6A75" w:rsidRPr="003B6A75">
        <w:rPr>
          <w:rFonts w:cs="Arial"/>
          <w:color w:val="000000"/>
        </w:rPr>
        <w:t>rt. 169 da Constituição Federal e na Lei Complementar nº 101</w:t>
      </w:r>
      <w:r>
        <w:rPr>
          <w:rFonts w:cs="Arial"/>
          <w:color w:val="000000"/>
        </w:rPr>
        <w:t xml:space="preserve">, de </w:t>
      </w:r>
      <w:r w:rsidR="003B6A75" w:rsidRPr="003B6A75">
        <w:rPr>
          <w:rFonts w:cs="Arial"/>
          <w:color w:val="000000"/>
        </w:rPr>
        <w:t>2000.</w:t>
      </w:r>
    </w:p>
    <w:p w14:paraId="4C61150C" w14:textId="77777777" w:rsidR="00D4567A" w:rsidRDefault="00D4567A" w:rsidP="003B6A75">
      <w:pPr>
        <w:pStyle w:val="PL-Corpo"/>
        <w:rPr>
          <w:rFonts w:cs="Arial"/>
          <w:color w:val="000000"/>
        </w:rPr>
      </w:pPr>
    </w:p>
    <w:p w14:paraId="30F5FC5D" w14:textId="6CAB36DA"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7º. A estimativa da receita e a fixação da despesa, constantes do projeto de lei orçamentária de 2025, serão elaboradas a valores correntes do exercício de 2024, projetados ao exercício a que se refere.</w:t>
      </w:r>
    </w:p>
    <w:p w14:paraId="67DF3B3F" w14:textId="636C857F"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Parágrafo Único. O </w:t>
      </w:r>
      <w:r>
        <w:rPr>
          <w:rFonts w:cs="Arial"/>
          <w:color w:val="000000"/>
        </w:rPr>
        <w:t>P</w:t>
      </w:r>
      <w:r w:rsidR="003B6A75" w:rsidRPr="003B6A75">
        <w:rPr>
          <w:rFonts w:cs="Arial"/>
          <w:color w:val="000000"/>
        </w:rPr>
        <w:t>rojeto de Lei Orçamentária atualizará a estimativa da margem de expansão das despesas, considerando os acréscimos de receita resultantes do crescimento da economia e da evolução de outras variáveis que implicam aumento da base de cálculo, bem como de alterações na legislação tributária, devendo ser garantidas, no mínimo, as metas de resultado primário e nominal estabelecidas nesta Lei.</w:t>
      </w:r>
    </w:p>
    <w:p w14:paraId="1A86F303" w14:textId="77777777" w:rsidR="00D4567A" w:rsidRDefault="00D4567A" w:rsidP="003B6A75">
      <w:pPr>
        <w:pStyle w:val="PL-Corpo"/>
        <w:rPr>
          <w:rFonts w:cs="Arial"/>
          <w:color w:val="000000"/>
        </w:rPr>
      </w:pPr>
    </w:p>
    <w:p w14:paraId="79F0DA51" w14:textId="275049AC"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8º. O poder Executivo colocará à disposição do Poder Legislativo, no mínimo 30 (trinta) dias antes do prazo final para o encaminhamento de sua proposta orçamentária, os estudos e as estimativas das receitas para o exercício subsequente, inclusive da corrente liquida, e as respectivas memorias de cálculo.</w:t>
      </w:r>
    </w:p>
    <w:p w14:paraId="4ECFB2D3" w14:textId="77777777" w:rsidR="00D4567A" w:rsidRDefault="00D4567A" w:rsidP="003B6A75">
      <w:pPr>
        <w:pStyle w:val="PL-Corpo"/>
        <w:rPr>
          <w:rFonts w:cs="Arial"/>
          <w:color w:val="000000"/>
        </w:rPr>
      </w:pPr>
    </w:p>
    <w:p w14:paraId="27F44DFD" w14:textId="1982CE39"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9º. Na programação da despesa não poderão ser fixadas despesas sem que estejam definidas as respectivas fontes de recursos, de forma a evitar o comprometimento do equilíbrio orçamentário entre a receita e a despesa.</w:t>
      </w:r>
    </w:p>
    <w:p w14:paraId="686C76D8" w14:textId="77777777" w:rsidR="00D4567A" w:rsidRDefault="00D4567A" w:rsidP="003B6A75">
      <w:pPr>
        <w:pStyle w:val="PL-Corpo"/>
        <w:rPr>
          <w:rFonts w:cs="Arial"/>
          <w:color w:val="000000"/>
        </w:rPr>
      </w:pPr>
    </w:p>
    <w:p w14:paraId="6260A06D" w14:textId="4C2ADA37"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10º. A lei orçamentária discriminará dotações destinadas ao pagamento de precatórios judiciais, em cumprimento ao disposto no artigo 100 da Constituição Federal.</w:t>
      </w:r>
    </w:p>
    <w:p w14:paraId="2FF7544F" w14:textId="2935D634"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Parágrafo único. Para fins de acompanhamento, controle, e centralização, os órgãos da administração pública municipal, submeterão os processos referentes ao pagamento de precatórios, a apreciação da Procuradoria Municipal.</w:t>
      </w:r>
    </w:p>
    <w:p w14:paraId="3E6A24F4" w14:textId="77777777" w:rsidR="003B6A75" w:rsidRPr="003B6A75" w:rsidRDefault="003B6A75" w:rsidP="00D4567A">
      <w:pPr>
        <w:pStyle w:val="PL-Corpo"/>
      </w:pPr>
    </w:p>
    <w:p w14:paraId="3896D51B" w14:textId="77777777" w:rsidR="00D4567A" w:rsidRDefault="003B6A75" w:rsidP="00D4567A">
      <w:pPr>
        <w:pStyle w:val="Seo-PL"/>
      </w:pPr>
      <w:r w:rsidRPr="003B6A75">
        <w:t>Subseção II</w:t>
      </w:r>
    </w:p>
    <w:p w14:paraId="09187EB5" w14:textId="1D0DE1A9" w:rsidR="003B6A75" w:rsidRPr="003B6A75" w:rsidRDefault="003B6A75" w:rsidP="00D4567A">
      <w:pPr>
        <w:pStyle w:val="Seo-PL"/>
      </w:pPr>
      <w:r w:rsidRPr="003B6A75">
        <w:t>Das Disposições Relativas à Dívida e ao Endividamento Público Municipal</w:t>
      </w:r>
    </w:p>
    <w:p w14:paraId="262D58EE" w14:textId="77777777" w:rsidR="00D4567A" w:rsidRDefault="00D4567A" w:rsidP="003B6A75">
      <w:pPr>
        <w:pStyle w:val="PL-Corpo"/>
        <w:rPr>
          <w:rFonts w:cs="Arial"/>
          <w:color w:val="000000"/>
        </w:rPr>
      </w:pPr>
    </w:p>
    <w:p w14:paraId="0BC1A5F9" w14:textId="6A592569"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11º. A administração da dívida pública municipal interna tem por objetivo principal minimizar custos, reduzir o montante da dívida pública, e viabilizar fontes alternativas de recursos para o Tesouro Municipal.</w:t>
      </w:r>
    </w:p>
    <w:p w14:paraId="1F08E81F" w14:textId="713285B9"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1º. Deverão ser garantidos, na Lei Orçamentária, os recursos necessários para pagamento da dívida.</w:t>
      </w:r>
    </w:p>
    <w:p w14:paraId="33BDBC9D" w14:textId="00ACBED1" w:rsidR="003B6A75" w:rsidRPr="003B6A75" w:rsidRDefault="00D4567A" w:rsidP="003B6A75">
      <w:pPr>
        <w:pStyle w:val="PL-Corpo"/>
        <w:rPr>
          <w:rFonts w:cs="Arial"/>
          <w:color w:val="000000"/>
        </w:rPr>
      </w:pPr>
      <w:r>
        <w:rPr>
          <w:rFonts w:cs="Arial"/>
          <w:color w:val="000000"/>
        </w:rPr>
        <w:lastRenderedPageBreak/>
        <w:t xml:space="preserve"> </w:t>
      </w:r>
      <w:r>
        <w:rPr>
          <w:rFonts w:cs="Arial"/>
          <w:color w:val="000000"/>
        </w:rPr>
        <w:tab/>
      </w:r>
      <w:r w:rsidR="003B6A75" w:rsidRPr="003B6A75">
        <w:rPr>
          <w:rFonts w:cs="Arial"/>
          <w:color w:val="000000"/>
        </w:rPr>
        <w:t>§2</w:t>
      </w:r>
      <w:r>
        <w:rPr>
          <w:rFonts w:cs="Arial"/>
          <w:color w:val="000000"/>
        </w:rPr>
        <w:t xml:space="preserve"> </w:t>
      </w:r>
      <w:r w:rsidR="003B6A75" w:rsidRPr="003B6A75">
        <w:rPr>
          <w:rFonts w:cs="Arial"/>
          <w:color w:val="000000"/>
        </w:rPr>
        <w:t>º. O Município, através de seus órgãos, subordinar-se-á às normas estabelecidas na Resolução nº 40</w:t>
      </w:r>
      <w:r>
        <w:rPr>
          <w:rFonts w:cs="Arial"/>
          <w:color w:val="000000"/>
        </w:rPr>
        <w:t xml:space="preserve">, de </w:t>
      </w:r>
      <w:r w:rsidR="003B6A75" w:rsidRPr="003B6A75">
        <w:rPr>
          <w:rFonts w:cs="Arial"/>
          <w:color w:val="000000"/>
        </w:rPr>
        <w:t>2001</w:t>
      </w:r>
      <w:r>
        <w:rPr>
          <w:rFonts w:cs="Arial"/>
          <w:color w:val="000000"/>
        </w:rPr>
        <w:t>,</w:t>
      </w:r>
      <w:r w:rsidR="003B6A75" w:rsidRPr="003B6A75">
        <w:rPr>
          <w:rFonts w:cs="Arial"/>
          <w:color w:val="000000"/>
        </w:rPr>
        <w:t xml:space="preserve"> do Senado Federal e suas alterações, que dispõe sobre os limites globais para o montante da dívida pública consolidada e da dívida pública mobiliária, em atendimento ao disposto no </w:t>
      </w:r>
      <w:r>
        <w:rPr>
          <w:rFonts w:cs="Arial"/>
          <w:color w:val="000000"/>
        </w:rPr>
        <w:t>a</w:t>
      </w:r>
      <w:r w:rsidR="003B6A75" w:rsidRPr="003B6A75">
        <w:rPr>
          <w:rFonts w:cs="Arial"/>
          <w:color w:val="000000"/>
        </w:rPr>
        <w:t>rt. 52, incisos VI e IX, da Constituição Federal.</w:t>
      </w:r>
    </w:p>
    <w:p w14:paraId="559116A6" w14:textId="77777777" w:rsidR="00D4567A" w:rsidRDefault="00D4567A" w:rsidP="003B6A75">
      <w:pPr>
        <w:pStyle w:val="PL-Corpo"/>
        <w:rPr>
          <w:rFonts w:cs="Arial"/>
          <w:color w:val="000000"/>
        </w:rPr>
      </w:pPr>
    </w:p>
    <w:p w14:paraId="10F9943A" w14:textId="4A20575E"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12. Na Lei Orçamentária para o exercício de 2025, as despesas com amortização, juros e demais encargos da dívida serão fixadas com base nas operações contratadas.</w:t>
      </w:r>
    </w:p>
    <w:p w14:paraId="71B2CAF5" w14:textId="77777777" w:rsidR="00D4567A" w:rsidRDefault="00D4567A" w:rsidP="003B6A75">
      <w:pPr>
        <w:pStyle w:val="PL-Corpo"/>
        <w:rPr>
          <w:rFonts w:cs="Arial"/>
          <w:color w:val="000000"/>
        </w:rPr>
      </w:pPr>
    </w:p>
    <w:p w14:paraId="51B82998" w14:textId="55862B37"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13. A Lei Orçamentária poderá conter autorização para contratação de operações de crédito pelo Poder Executivo, a qual ficará condicionada ao atendimento das normas estabelecidas na Lei Complementar nº 101</w:t>
      </w:r>
      <w:r>
        <w:rPr>
          <w:rFonts w:cs="Arial"/>
          <w:color w:val="000000"/>
        </w:rPr>
        <w:t xml:space="preserve">, de </w:t>
      </w:r>
      <w:r w:rsidR="003B6A75" w:rsidRPr="003B6A75">
        <w:rPr>
          <w:rFonts w:cs="Arial"/>
          <w:color w:val="000000"/>
        </w:rPr>
        <w:t>2000 e na Resolução nº 43</w:t>
      </w:r>
      <w:r>
        <w:rPr>
          <w:rFonts w:cs="Arial"/>
          <w:color w:val="000000"/>
        </w:rPr>
        <w:t xml:space="preserve">, de </w:t>
      </w:r>
      <w:r w:rsidR="003B6A75" w:rsidRPr="003B6A75">
        <w:rPr>
          <w:rFonts w:cs="Arial"/>
          <w:color w:val="000000"/>
        </w:rPr>
        <w:t>2001</w:t>
      </w:r>
      <w:r>
        <w:rPr>
          <w:rFonts w:cs="Arial"/>
          <w:color w:val="000000"/>
        </w:rPr>
        <w:t>,</w:t>
      </w:r>
      <w:r w:rsidR="003B6A75" w:rsidRPr="003B6A75">
        <w:rPr>
          <w:rFonts w:cs="Arial"/>
          <w:color w:val="000000"/>
        </w:rPr>
        <w:t xml:space="preserve"> do Senado Federal e suas alterações posteriores.</w:t>
      </w:r>
    </w:p>
    <w:p w14:paraId="77275983" w14:textId="77777777" w:rsidR="00D4567A" w:rsidRDefault="00D4567A" w:rsidP="003B6A75">
      <w:pPr>
        <w:pStyle w:val="PL-Corpo"/>
        <w:rPr>
          <w:rFonts w:cs="Arial"/>
          <w:color w:val="000000"/>
        </w:rPr>
      </w:pPr>
    </w:p>
    <w:p w14:paraId="212092B9" w14:textId="156C7E91"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14. A Lei Orçamentária poderá conter autorização para a realização de operações de crédito por antecipação de receita orçamentária, desde que observado o disposto no </w:t>
      </w:r>
      <w:r>
        <w:rPr>
          <w:rFonts w:cs="Arial"/>
          <w:color w:val="000000"/>
        </w:rPr>
        <w:t>a</w:t>
      </w:r>
      <w:r w:rsidR="003B6A75" w:rsidRPr="003B6A75">
        <w:rPr>
          <w:rFonts w:cs="Arial"/>
          <w:color w:val="000000"/>
        </w:rPr>
        <w:t>rt. 38 da Lei Complementar nº 101</w:t>
      </w:r>
      <w:r>
        <w:rPr>
          <w:rFonts w:cs="Arial"/>
          <w:color w:val="000000"/>
        </w:rPr>
        <w:t xml:space="preserve">, de </w:t>
      </w:r>
      <w:r w:rsidR="003B6A75" w:rsidRPr="003B6A75">
        <w:rPr>
          <w:rFonts w:cs="Arial"/>
          <w:color w:val="000000"/>
        </w:rPr>
        <w:t>2000</w:t>
      </w:r>
      <w:r>
        <w:rPr>
          <w:rFonts w:cs="Arial"/>
          <w:color w:val="000000"/>
        </w:rPr>
        <w:t>,</w:t>
      </w:r>
      <w:r w:rsidR="003B6A75" w:rsidRPr="003B6A75">
        <w:rPr>
          <w:rFonts w:cs="Arial"/>
          <w:color w:val="000000"/>
        </w:rPr>
        <w:t xml:space="preserve"> e atendidas as exigências estabelecidas na Resolução nº 43</w:t>
      </w:r>
      <w:r>
        <w:rPr>
          <w:rFonts w:cs="Arial"/>
          <w:color w:val="000000"/>
        </w:rPr>
        <w:t xml:space="preserve">, de </w:t>
      </w:r>
      <w:r w:rsidR="003B6A75" w:rsidRPr="003B6A75">
        <w:rPr>
          <w:rFonts w:cs="Arial"/>
          <w:color w:val="000000"/>
        </w:rPr>
        <w:t>2001</w:t>
      </w:r>
      <w:r>
        <w:rPr>
          <w:rFonts w:cs="Arial"/>
          <w:color w:val="000000"/>
        </w:rPr>
        <w:t>,</w:t>
      </w:r>
      <w:r w:rsidR="003B6A75" w:rsidRPr="003B6A75">
        <w:rPr>
          <w:rFonts w:cs="Arial"/>
          <w:color w:val="000000"/>
        </w:rPr>
        <w:t xml:space="preserve"> do Senado Federal e suas alterações.</w:t>
      </w:r>
    </w:p>
    <w:p w14:paraId="79A98943" w14:textId="77777777" w:rsidR="003B6A75" w:rsidRPr="003B6A75" w:rsidRDefault="003B6A75" w:rsidP="003B6A75">
      <w:pPr>
        <w:pStyle w:val="PL-Corpo"/>
        <w:rPr>
          <w:rFonts w:cs="Arial"/>
          <w:color w:val="000000"/>
        </w:rPr>
      </w:pPr>
    </w:p>
    <w:p w14:paraId="593A1819" w14:textId="77777777" w:rsidR="00D4567A" w:rsidRDefault="003B6A75" w:rsidP="00D4567A">
      <w:pPr>
        <w:pStyle w:val="Seo-PL"/>
      </w:pPr>
      <w:r w:rsidRPr="003B6A75">
        <w:t>Subseção Ill</w:t>
      </w:r>
    </w:p>
    <w:p w14:paraId="7803C92C" w14:textId="1ABC0C4E" w:rsidR="003B6A75" w:rsidRPr="003B6A75" w:rsidRDefault="003B6A75" w:rsidP="00D4567A">
      <w:pPr>
        <w:pStyle w:val="Seo-PL"/>
      </w:pPr>
      <w:r w:rsidRPr="003B6A75">
        <w:t>Da Definição de Montante e Forma de Utilização da Reserva de Contingência</w:t>
      </w:r>
    </w:p>
    <w:p w14:paraId="5BF8952B" w14:textId="77777777" w:rsidR="00D4567A" w:rsidRDefault="00D4567A" w:rsidP="003B6A75">
      <w:pPr>
        <w:pStyle w:val="PL-Corpo"/>
        <w:rPr>
          <w:rFonts w:cs="Arial"/>
          <w:color w:val="000000"/>
        </w:rPr>
      </w:pPr>
    </w:p>
    <w:p w14:paraId="44498450" w14:textId="36AFCE2F"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15. A lei orçamentária poderá conter reserva de contingência, constituída exclusivamente com recursos do orçamento fiscal e será equivalente a, no máximo, 0,50% (meio por cento) da receita corrente líquida prevista na proposta orçamentária de 2025, destinada ao atendimento de passivos contingentes, outros riscos e eventos fiscais imprevistos e reforço das dotações orçamentárias que se tornarem insuficientes.</w:t>
      </w:r>
    </w:p>
    <w:p w14:paraId="5365B71F" w14:textId="77777777" w:rsidR="003B6A75" w:rsidRPr="003B6A75" w:rsidRDefault="003B6A75" w:rsidP="003B6A75">
      <w:pPr>
        <w:pStyle w:val="PL-Corpo"/>
        <w:rPr>
          <w:rFonts w:cs="Arial"/>
          <w:color w:val="000000"/>
        </w:rPr>
      </w:pPr>
    </w:p>
    <w:p w14:paraId="7AFF2E31" w14:textId="77777777" w:rsidR="00D4567A" w:rsidRDefault="003B6A75" w:rsidP="00D4567A">
      <w:pPr>
        <w:pStyle w:val="Seo-PL"/>
      </w:pPr>
      <w:r w:rsidRPr="003B6A75">
        <w:t>Seção III</w:t>
      </w:r>
    </w:p>
    <w:p w14:paraId="002EF3BC" w14:textId="15A8778E" w:rsidR="003B6A75" w:rsidRPr="003B6A75" w:rsidRDefault="003B6A75" w:rsidP="00D4567A">
      <w:pPr>
        <w:pStyle w:val="Seo-PL"/>
      </w:pPr>
      <w:r w:rsidRPr="003B6A75">
        <w:t>As Disposições Sobre a Política de Pessoal e de Serviços Extraordinários</w:t>
      </w:r>
    </w:p>
    <w:p w14:paraId="52BF5069" w14:textId="77777777" w:rsidR="00D4567A" w:rsidRDefault="00D4567A" w:rsidP="003B6A75">
      <w:pPr>
        <w:pStyle w:val="PL-Corpo"/>
        <w:rPr>
          <w:rFonts w:cs="Arial"/>
          <w:color w:val="000000"/>
        </w:rPr>
      </w:pPr>
    </w:p>
    <w:p w14:paraId="478FA0D8" w14:textId="77777777" w:rsidR="00D4567A" w:rsidRDefault="003B6A75" w:rsidP="00D4567A">
      <w:pPr>
        <w:pStyle w:val="Seo-PL"/>
      </w:pPr>
      <w:r w:rsidRPr="003B6A75">
        <w:t>Subseção I</w:t>
      </w:r>
    </w:p>
    <w:p w14:paraId="2449341D" w14:textId="39BDF5E8" w:rsidR="003B6A75" w:rsidRPr="003B6A75" w:rsidRDefault="003B6A75" w:rsidP="00D4567A">
      <w:pPr>
        <w:pStyle w:val="Seo-PL"/>
      </w:pPr>
      <w:r w:rsidRPr="003B6A75">
        <w:t>Das Disposições Sobre Política de Pessoal e Encargos Sociais</w:t>
      </w:r>
    </w:p>
    <w:p w14:paraId="4986E2B3" w14:textId="77777777" w:rsidR="00D4567A" w:rsidRDefault="00D4567A" w:rsidP="003B6A75">
      <w:pPr>
        <w:pStyle w:val="PL-Corpo"/>
        <w:rPr>
          <w:rFonts w:cs="Arial"/>
          <w:color w:val="000000"/>
        </w:rPr>
      </w:pPr>
    </w:p>
    <w:p w14:paraId="2760F496" w14:textId="521F8C17" w:rsidR="003B6A75" w:rsidRPr="003B6A75" w:rsidRDefault="00D4567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16. Para fins de atendimento ao disposto no </w:t>
      </w:r>
      <w:r>
        <w:rPr>
          <w:rFonts w:cs="Arial"/>
          <w:color w:val="000000"/>
        </w:rPr>
        <w:t>a</w:t>
      </w:r>
      <w:r w:rsidR="003B6A75" w:rsidRPr="003B6A75">
        <w:rPr>
          <w:rFonts w:cs="Arial"/>
          <w:color w:val="000000"/>
        </w:rPr>
        <w:t>rt. 169, § 1º, inciso II, da Constituição Federal, observado o inciso I do mesmo parágrafo, ficam autorizadas as concessões de quaisquer vantagens, aumentos de remuneração, criações de cargos, empregos e funções, alterações de estrutura de carreiras, realização de concurso público bem como admissões ou contratações de pessoal a qualquer título, desde que observado o disposto nos art</w:t>
      </w:r>
      <w:r w:rsidR="000A2AE2">
        <w:rPr>
          <w:rFonts w:cs="Arial"/>
          <w:color w:val="000000"/>
        </w:rPr>
        <w:t>s.</w:t>
      </w:r>
      <w:r w:rsidR="003B6A75" w:rsidRPr="003B6A75">
        <w:rPr>
          <w:rFonts w:cs="Arial"/>
          <w:color w:val="000000"/>
        </w:rPr>
        <w:t xml:space="preserve"> 15, 16 e 17 da Lei Complementar nº 101</w:t>
      </w:r>
      <w:r w:rsidR="00C90751">
        <w:rPr>
          <w:rFonts w:cs="Arial"/>
          <w:color w:val="000000"/>
        </w:rPr>
        <w:t xml:space="preserve">, de </w:t>
      </w:r>
      <w:r w:rsidR="003B6A75" w:rsidRPr="003B6A75">
        <w:rPr>
          <w:rFonts w:cs="Arial"/>
          <w:color w:val="000000"/>
        </w:rPr>
        <w:t>2000.</w:t>
      </w:r>
    </w:p>
    <w:p w14:paraId="4D93DB42" w14:textId="7AC7E097"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 xml:space="preserve">1º. Além de observar às normas do </w:t>
      </w:r>
      <w:r w:rsidR="003B6A75" w:rsidRPr="001171B7">
        <w:rPr>
          <w:rFonts w:cs="Arial"/>
          <w:i/>
          <w:iCs/>
          <w:color w:val="000000"/>
        </w:rPr>
        <w:t>caput</w:t>
      </w:r>
      <w:r w:rsidR="003B6A75" w:rsidRPr="003B6A75">
        <w:rPr>
          <w:rFonts w:cs="Arial"/>
          <w:color w:val="000000"/>
        </w:rPr>
        <w:t>, no exercício financeiro de 2025 as despesas com pessoal dos Poderes Executivo e Legislativo deverão atender as disposições contidas nos art</w:t>
      </w:r>
      <w:r>
        <w:rPr>
          <w:rFonts w:cs="Arial"/>
          <w:color w:val="000000"/>
        </w:rPr>
        <w:t>s.</w:t>
      </w:r>
      <w:r w:rsidR="003B6A75" w:rsidRPr="003B6A75">
        <w:rPr>
          <w:rFonts w:cs="Arial"/>
          <w:color w:val="000000"/>
        </w:rPr>
        <w:t xml:space="preserve"> 18, 19 e 20 da Lei Complementar nº 101</w:t>
      </w:r>
      <w:r>
        <w:rPr>
          <w:rFonts w:cs="Arial"/>
          <w:color w:val="000000"/>
        </w:rPr>
        <w:t xml:space="preserve">, de </w:t>
      </w:r>
      <w:r w:rsidR="003B6A75" w:rsidRPr="003B6A75">
        <w:rPr>
          <w:rFonts w:cs="Arial"/>
          <w:color w:val="000000"/>
        </w:rPr>
        <w:t>2000.</w:t>
      </w:r>
    </w:p>
    <w:p w14:paraId="3C4F58BB" w14:textId="43F0A382"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 xml:space="preserve">2º. Se a despesa total com pessoal ultrapassar os limites estabelecidos no </w:t>
      </w:r>
      <w:r>
        <w:rPr>
          <w:rFonts w:cs="Arial"/>
          <w:color w:val="000000"/>
        </w:rPr>
        <w:t>a</w:t>
      </w:r>
      <w:r w:rsidR="003B6A75" w:rsidRPr="003B6A75">
        <w:rPr>
          <w:rFonts w:cs="Arial"/>
          <w:color w:val="000000"/>
        </w:rPr>
        <w:t>rt. 19 da Lei Complementar nº 101</w:t>
      </w:r>
      <w:r>
        <w:rPr>
          <w:rFonts w:cs="Arial"/>
          <w:color w:val="000000"/>
        </w:rPr>
        <w:t xml:space="preserve">, de </w:t>
      </w:r>
      <w:r w:rsidR="003B6A75" w:rsidRPr="003B6A75">
        <w:rPr>
          <w:rFonts w:cs="Arial"/>
          <w:color w:val="000000"/>
        </w:rPr>
        <w:t xml:space="preserve">2000, serão adotadas as medidas de que tratam os §§ 3º e 4º do </w:t>
      </w:r>
      <w:r>
        <w:rPr>
          <w:rFonts w:cs="Arial"/>
          <w:color w:val="000000"/>
        </w:rPr>
        <w:t>a</w:t>
      </w:r>
      <w:r w:rsidR="003B6A75" w:rsidRPr="003B6A75">
        <w:rPr>
          <w:rFonts w:cs="Arial"/>
          <w:color w:val="000000"/>
        </w:rPr>
        <w:t>rt. 169 da Constituição Federal.</w:t>
      </w:r>
    </w:p>
    <w:p w14:paraId="4B0BCB09" w14:textId="77777777" w:rsidR="003B6A75" w:rsidRPr="003B6A75" w:rsidRDefault="003B6A75" w:rsidP="003B6A75">
      <w:pPr>
        <w:pStyle w:val="PL-Corpo"/>
        <w:rPr>
          <w:rFonts w:cs="Arial"/>
          <w:color w:val="000000"/>
        </w:rPr>
      </w:pPr>
    </w:p>
    <w:p w14:paraId="60936FC2" w14:textId="77777777" w:rsidR="00C90751" w:rsidRDefault="00C90751" w:rsidP="003B6A75">
      <w:pPr>
        <w:pStyle w:val="PL-Corpo"/>
        <w:rPr>
          <w:rFonts w:cs="Arial"/>
          <w:color w:val="000000"/>
        </w:rPr>
      </w:pPr>
    </w:p>
    <w:p w14:paraId="6290BD62" w14:textId="77777777" w:rsidR="00C90751" w:rsidRDefault="00C90751" w:rsidP="00C90751">
      <w:pPr>
        <w:pStyle w:val="Seo-PL"/>
      </w:pPr>
      <w:r>
        <w:t xml:space="preserve"> </w:t>
      </w:r>
      <w:r>
        <w:tab/>
      </w:r>
      <w:r w:rsidR="003B6A75" w:rsidRPr="003B6A75">
        <w:t>Subseção II</w:t>
      </w:r>
    </w:p>
    <w:p w14:paraId="1E78EE97" w14:textId="0FE1C008" w:rsidR="003B6A75" w:rsidRPr="003B6A75" w:rsidRDefault="003B6A75" w:rsidP="00C90751">
      <w:pPr>
        <w:pStyle w:val="Seo-PL"/>
      </w:pPr>
      <w:r w:rsidRPr="003B6A75">
        <w:t>Da Previsão para Contratação Excepcional de Horas Extras</w:t>
      </w:r>
    </w:p>
    <w:p w14:paraId="6B7FD8FC" w14:textId="77777777" w:rsidR="00C90751" w:rsidRDefault="00C90751" w:rsidP="003B6A75">
      <w:pPr>
        <w:pStyle w:val="PL-Corpo"/>
        <w:rPr>
          <w:rFonts w:cs="Arial"/>
          <w:color w:val="000000"/>
        </w:rPr>
      </w:pPr>
    </w:p>
    <w:p w14:paraId="2065D3ED" w14:textId="0469B72A"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17. Se durante o exercício de 2025 a despesa com pessoal atingir o limite de que trata o Parágrafo Único do </w:t>
      </w:r>
      <w:r>
        <w:rPr>
          <w:rFonts w:cs="Arial"/>
          <w:color w:val="000000"/>
        </w:rPr>
        <w:t>a</w:t>
      </w:r>
      <w:r w:rsidR="003B6A75" w:rsidRPr="003B6A75">
        <w:rPr>
          <w:rFonts w:cs="Arial"/>
          <w:color w:val="000000"/>
        </w:rPr>
        <w:t>rt. 22 da Lei Complementar nº 101</w:t>
      </w:r>
      <w:r>
        <w:rPr>
          <w:rFonts w:cs="Arial"/>
          <w:color w:val="000000"/>
        </w:rPr>
        <w:t xml:space="preserve">, </w:t>
      </w:r>
      <w:r w:rsidR="003B6A75" w:rsidRPr="003B6A75">
        <w:rPr>
          <w:rFonts w:cs="Arial"/>
          <w:color w:val="000000"/>
        </w:rPr>
        <w:t>2000, o pagamento da realização de serviço extraordinário ou horas-extras somente poderá ocorrer quando destinada ao atendimento de relevantes interesses públicos que ensejem situações emergenciais de risco ou de prejuízo para a sociedade.</w:t>
      </w:r>
    </w:p>
    <w:p w14:paraId="7D7FDFFE" w14:textId="25DCC784" w:rsidR="003B6A75" w:rsidRPr="003B6A75" w:rsidRDefault="00C90751" w:rsidP="001171B7">
      <w:pPr>
        <w:pStyle w:val="PL-Corpo"/>
      </w:pPr>
      <w:r>
        <w:t xml:space="preserve"> </w:t>
      </w:r>
      <w:r>
        <w:tab/>
      </w:r>
      <w:r w:rsidR="003B6A75" w:rsidRPr="003B6A75">
        <w:t xml:space="preserve">Parágrafo Único. A autorização para a realização de serviço extraordinário para atender as situações previstas no </w:t>
      </w:r>
      <w:r w:rsidR="003B6A75" w:rsidRPr="001171B7">
        <w:rPr>
          <w:i/>
          <w:iCs/>
        </w:rPr>
        <w:t>caput</w:t>
      </w:r>
      <w:r w:rsidR="003B6A75" w:rsidRPr="003B6A75">
        <w:t xml:space="preserve"> deste artigo, no âmbito do Poder Executivo é de exclusiva competência do Secretário de Administração e Fazenda ou Prefeito Municipal e no âmbito do Poder Legislativo é de exclusiva competência do Presidente da Câmara, conforme estatuto dos servidores.</w:t>
      </w:r>
    </w:p>
    <w:p w14:paraId="2DC11C9E" w14:textId="77777777" w:rsidR="003B6A75" w:rsidRPr="003B6A75" w:rsidRDefault="003B6A75" w:rsidP="003B6A75">
      <w:pPr>
        <w:pStyle w:val="PL-Corpo"/>
        <w:rPr>
          <w:rFonts w:cs="Arial"/>
          <w:color w:val="000000"/>
        </w:rPr>
      </w:pPr>
    </w:p>
    <w:p w14:paraId="49E391CC" w14:textId="77777777" w:rsidR="00C90751" w:rsidRDefault="003B6A75" w:rsidP="00C90751">
      <w:pPr>
        <w:pStyle w:val="Seo-PL"/>
      </w:pPr>
      <w:r w:rsidRPr="003B6A75">
        <w:t>Seção IV</w:t>
      </w:r>
    </w:p>
    <w:p w14:paraId="6473B14A" w14:textId="030DF7AE" w:rsidR="003B6A75" w:rsidRPr="003B6A75" w:rsidRDefault="003B6A75" w:rsidP="00C90751">
      <w:pPr>
        <w:pStyle w:val="Seo-PL"/>
      </w:pPr>
      <w:r w:rsidRPr="003B6A75">
        <w:t>As Disposições Sobre as Receitas, Alterações na Legislação Tributária e as Medidas de Combate a Evasão e a Sonegação</w:t>
      </w:r>
    </w:p>
    <w:p w14:paraId="1FA7558F" w14:textId="77777777" w:rsidR="00C90751" w:rsidRDefault="00C90751" w:rsidP="003B6A75">
      <w:pPr>
        <w:pStyle w:val="PL-Corpo"/>
        <w:rPr>
          <w:rFonts w:cs="Arial"/>
          <w:color w:val="000000"/>
        </w:rPr>
      </w:pPr>
    </w:p>
    <w:p w14:paraId="45654032" w14:textId="59C4DC27"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18. A estimativa da receita que constará do projeto de lei orçamentária para o exercício de 2025, com vistas à expansão da base tributária e consequente aumento das receitas próprias, contemplará medidas de aperfeiçoamento da administração dos tributos municipais, dentre as quais:</w:t>
      </w:r>
    </w:p>
    <w:p w14:paraId="585C8F9C" w14:textId="54EF9244"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a</w:t>
      </w:r>
      <w:r w:rsidR="003B6A75" w:rsidRPr="003B6A75">
        <w:rPr>
          <w:rFonts w:cs="Arial"/>
          <w:color w:val="000000"/>
        </w:rPr>
        <w:t>perfeiçoamento do sistema de formação, tramitação e julgamento dos processos tributários administrativos, por meio da revisão e da racionalização das rotinas e dos processos, objetivando a modernização, a padronização de atividades, a melhoria dos controles internos, e a eficiência na prestação de serviços, visando à racionalização, simplificação e agilização.</w:t>
      </w:r>
    </w:p>
    <w:p w14:paraId="71FE3E84" w14:textId="4673C5AB"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a</w:t>
      </w:r>
      <w:r w:rsidR="003B6A75" w:rsidRPr="003B6A75">
        <w:rPr>
          <w:rFonts w:cs="Arial"/>
          <w:color w:val="000000"/>
        </w:rPr>
        <w:t>perfeiçoamento dos sistemas de fiscalização, cobrança e arrecadação de tributos, objetivando a sua maior exatidão;</w:t>
      </w:r>
    </w:p>
    <w:p w14:paraId="41B14EE8" w14:textId="72DD9593"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III – </w:t>
      </w:r>
      <w:r>
        <w:rPr>
          <w:rFonts w:cs="Arial"/>
          <w:color w:val="000000"/>
        </w:rPr>
        <w:t>a</w:t>
      </w:r>
      <w:r w:rsidR="003B6A75" w:rsidRPr="003B6A75">
        <w:rPr>
          <w:rFonts w:cs="Arial"/>
          <w:color w:val="000000"/>
        </w:rPr>
        <w:t>plicação das penalidades fiscais, como instrumento inibitório da prática de infração da legislação tributária.</w:t>
      </w:r>
    </w:p>
    <w:p w14:paraId="1A0E0910" w14:textId="77777777" w:rsidR="00C90751" w:rsidRDefault="00C90751" w:rsidP="003B6A75">
      <w:pPr>
        <w:pStyle w:val="PL-Corpo"/>
        <w:rPr>
          <w:rFonts w:cs="Arial"/>
          <w:color w:val="000000"/>
        </w:rPr>
      </w:pPr>
    </w:p>
    <w:p w14:paraId="4A2CE4FC" w14:textId="38D10D94"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19. A estimativa da receita de que trata o artigo anterior levará em consideração, adicionalmente, o impacto de alteração na legislação tributária, com destaque para:</w:t>
      </w:r>
    </w:p>
    <w:p w14:paraId="3759750F" w14:textId="38C03CA8"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a</w:t>
      </w:r>
      <w:r w:rsidR="003B6A75" w:rsidRPr="003B6A75">
        <w:rPr>
          <w:rFonts w:cs="Arial"/>
          <w:color w:val="000000"/>
        </w:rPr>
        <w:t>tualização da planta genérica de valores do Município;</w:t>
      </w:r>
    </w:p>
    <w:p w14:paraId="7DEC8E4C" w14:textId="756CFC09"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r</w:t>
      </w:r>
      <w:r w:rsidR="003B6A75" w:rsidRPr="003B6A75">
        <w:rPr>
          <w:rFonts w:cs="Arial"/>
          <w:color w:val="000000"/>
        </w:rPr>
        <w:t>evisão, atualização ou adequação da legislação sobre Imposto Predial e Territorial Urbano, suas alíquotas, formas de cálculos, condições de pagamentos, descontos e isenções, inclusive com relação à progressividade deste imposto;</w:t>
      </w:r>
    </w:p>
    <w:p w14:paraId="771BEF3E" w14:textId="61C2D9F3"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III – </w:t>
      </w:r>
      <w:r>
        <w:rPr>
          <w:rFonts w:cs="Arial"/>
          <w:color w:val="000000"/>
        </w:rPr>
        <w:t>r</w:t>
      </w:r>
      <w:r w:rsidR="003B6A75" w:rsidRPr="003B6A75">
        <w:rPr>
          <w:rFonts w:cs="Arial"/>
          <w:color w:val="000000"/>
        </w:rPr>
        <w:t>evisão da legislação sobre o uso do solo, com redefinição dos limites da zona urbana municipal;</w:t>
      </w:r>
    </w:p>
    <w:p w14:paraId="05B6249F" w14:textId="1C7C0729"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IV – </w:t>
      </w:r>
      <w:r>
        <w:rPr>
          <w:rFonts w:cs="Arial"/>
          <w:color w:val="000000"/>
        </w:rPr>
        <w:t>r</w:t>
      </w:r>
      <w:r w:rsidR="003B6A75" w:rsidRPr="003B6A75">
        <w:rPr>
          <w:rFonts w:cs="Arial"/>
          <w:color w:val="000000"/>
        </w:rPr>
        <w:t>evisão da legislação referente ao Imposto Sobre Serviços de Qualquer Natureza;</w:t>
      </w:r>
    </w:p>
    <w:p w14:paraId="37A7AE6C" w14:textId="0B05BDA4"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 – </w:t>
      </w:r>
      <w:r>
        <w:rPr>
          <w:rFonts w:cs="Arial"/>
          <w:color w:val="000000"/>
        </w:rPr>
        <w:t>r</w:t>
      </w:r>
      <w:r w:rsidR="003B6A75" w:rsidRPr="003B6A75">
        <w:rPr>
          <w:rFonts w:cs="Arial"/>
          <w:color w:val="000000"/>
        </w:rPr>
        <w:t>evisão da legislação aplicável ao Imposto sobre Transmissão Intervivos de Bens Imóveis e de Direitos Reais sobre Imóveis;</w:t>
      </w:r>
    </w:p>
    <w:p w14:paraId="36DB23BA" w14:textId="7E8C81A8"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 – </w:t>
      </w:r>
      <w:r>
        <w:rPr>
          <w:rFonts w:cs="Arial"/>
          <w:color w:val="000000"/>
        </w:rPr>
        <w:t>i</w:t>
      </w:r>
      <w:r w:rsidR="003B6A75" w:rsidRPr="003B6A75">
        <w:rPr>
          <w:rFonts w:cs="Arial"/>
          <w:color w:val="000000"/>
        </w:rPr>
        <w:t>nstituição de taxas pela utilização efetiva ou potencial de serviços públicos específicos e divisíveis, prestados ao contribuinte ou impostos a sua disposição;</w:t>
      </w:r>
    </w:p>
    <w:p w14:paraId="0FF65CC8" w14:textId="4C3F8A0C" w:rsidR="003B6A75" w:rsidRPr="003B6A75" w:rsidRDefault="00C90751" w:rsidP="003B6A75">
      <w:pPr>
        <w:pStyle w:val="PL-Corpo"/>
        <w:rPr>
          <w:rFonts w:cs="Arial"/>
          <w:color w:val="000000"/>
        </w:rPr>
      </w:pPr>
      <w:r>
        <w:rPr>
          <w:rFonts w:cs="Arial"/>
          <w:color w:val="000000"/>
        </w:rPr>
        <w:lastRenderedPageBreak/>
        <w:t xml:space="preserve"> </w:t>
      </w:r>
      <w:r>
        <w:rPr>
          <w:rFonts w:cs="Arial"/>
          <w:color w:val="000000"/>
        </w:rPr>
        <w:tab/>
      </w:r>
      <w:r w:rsidR="003B6A75" w:rsidRPr="003B6A75">
        <w:rPr>
          <w:rFonts w:cs="Arial"/>
          <w:color w:val="000000"/>
        </w:rPr>
        <w:t xml:space="preserve">VII – </w:t>
      </w:r>
      <w:r>
        <w:rPr>
          <w:rFonts w:cs="Arial"/>
          <w:color w:val="000000"/>
        </w:rPr>
        <w:t>r</w:t>
      </w:r>
      <w:r w:rsidR="003B6A75" w:rsidRPr="003B6A75">
        <w:rPr>
          <w:rFonts w:cs="Arial"/>
          <w:color w:val="000000"/>
        </w:rPr>
        <w:t>evisão da legislação sobre as taxas pelo exercício do poder de polícia;</w:t>
      </w:r>
    </w:p>
    <w:p w14:paraId="79521FB2" w14:textId="139C7A26"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VIII – </w:t>
      </w:r>
      <w:r>
        <w:rPr>
          <w:rFonts w:cs="Arial"/>
          <w:color w:val="000000"/>
        </w:rPr>
        <w:t>r</w:t>
      </w:r>
      <w:r w:rsidR="003B6A75" w:rsidRPr="003B6A75">
        <w:rPr>
          <w:rFonts w:cs="Arial"/>
          <w:color w:val="000000"/>
        </w:rPr>
        <w:t>evisão das isenções dos tributos municipais, para manter o interesse público e a justiça fiscal;</w:t>
      </w:r>
    </w:p>
    <w:p w14:paraId="5E96F4F6" w14:textId="37C3BE75"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IX – </w:t>
      </w:r>
      <w:r>
        <w:rPr>
          <w:rFonts w:cs="Arial"/>
          <w:color w:val="000000"/>
        </w:rPr>
        <w:t>i</w:t>
      </w:r>
      <w:r w:rsidR="003B6A75" w:rsidRPr="003B6A75">
        <w:rPr>
          <w:rFonts w:cs="Arial"/>
          <w:color w:val="000000"/>
        </w:rPr>
        <w:t>nstituição, por Lei específica, da Contribuição de Melhoria com a finalidade de tornar exequível a sua cobrança;</w:t>
      </w:r>
    </w:p>
    <w:p w14:paraId="60406099" w14:textId="6D04F6C1"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X – </w:t>
      </w:r>
      <w:r>
        <w:rPr>
          <w:rFonts w:cs="Arial"/>
          <w:color w:val="000000"/>
        </w:rPr>
        <w:t>a</w:t>
      </w:r>
      <w:r w:rsidR="003B6A75" w:rsidRPr="003B6A75">
        <w:rPr>
          <w:rFonts w:cs="Arial"/>
          <w:color w:val="000000"/>
        </w:rPr>
        <w:t xml:space="preserve"> instituição de novos tributos ou a modificação, em decorrência de alterações legais, daqueles já instituídos.</w:t>
      </w:r>
    </w:p>
    <w:p w14:paraId="7D5DA880" w14:textId="77777777" w:rsidR="00C90751" w:rsidRDefault="00C90751" w:rsidP="003B6A75">
      <w:pPr>
        <w:pStyle w:val="PL-Corpo"/>
        <w:rPr>
          <w:rFonts w:cs="Arial"/>
          <w:color w:val="000000"/>
        </w:rPr>
      </w:pPr>
    </w:p>
    <w:p w14:paraId="20C6C89E" w14:textId="36EF7ED3"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20. O Projeto de Lei que conceda ou amplie incentivo ou benefício de natureza tributária somente será aprovado se atendidas as exigências do </w:t>
      </w:r>
      <w:r>
        <w:rPr>
          <w:rFonts w:cs="Arial"/>
          <w:color w:val="000000"/>
        </w:rPr>
        <w:t>a</w:t>
      </w:r>
      <w:r w:rsidR="003B6A75" w:rsidRPr="003B6A75">
        <w:rPr>
          <w:rFonts w:cs="Arial"/>
          <w:color w:val="000000"/>
        </w:rPr>
        <w:t>rt. 14 da Lei Complementar nº 101</w:t>
      </w:r>
      <w:r>
        <w:rPr>
          <w:rFonts w:cs="Arial"/>
          <w:color w:val="000000"/>
        </w:rPr>
        <w:t xml:space="preserve">, de </w:t>
      </w:r>
      <w:r w:rsidR="003B6A75" w:rsidRPr="003B6A75">
        <w:rPr>
          <w:rFonts w:cs="Arial"/>
          <w:color w:val="000000"/>
        </w:rPr>
        <w:t>2000.</w:t>
      </w:r>
    </w:p>
    <w:p w14:paraId="4A7E7D70" w14:textId="77777777" w:rsidR="00C90751" w:rsidRDefault="00C90751" w:rsidP="003B6A75">
      <w:pPr>
        <w:pStyle w:val="PL-Corpo"/>
        <w:rPr>
          <w:rFonts w:cs="Arial"/>
          <w:color w:val="000000"/>
        </w:rPr>
      </w:pPr>
    </w:p>
    <w:p w14:paraId="050B129E" w14:textId="719F1710"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21. Na estimativa das receitas do Projeto de Lei Orçamentária poderão ser considerados os efeitos de propostas de alterações na legislação tributária que estejam em tramitação na Câmara Municipal.</w:t>
      </w:r>
    </w:p>
    <w:p w14:paraId="14D5FA3D" w14:textId="1F772C8A"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1º. Caso as alterações propostas não sejam aprovadas, ou sejam parcialmente, de forma a não permitir a integralização dos recursos esperados, as dotações à conta das referidas receitas serão canceladas, mediante decreto, nos 30 (trinta) dias subsequentes à publicação do projeto de lei orçamentária de 2025.</w:t>
      </w:r>
    </w:p>
    <w:p w14:paraId="6FEDAA88" w14:textId="1CA3C06C"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2º. No caso de não aprovação das propostas de alteração previstas no caput, poderá ser efetuada a substituição das fontes condicionadas por excesso de arrecadação de outras fontes, inclusive de operações de crédito, ou por superavit financeiro apurado em balanço patrimonial do exercício anterior, antes do cancelamento previsto no §1º deste artigo.</w:t>
      </w:r>
    </w:p>
    <w:p w14:paraId="0BB42257" w14:textId="77777777" w:rsidR="003B6A75" w:rsidRPr="003B6A75" w:rsidRDefault="003B6A75" w:rsidP="003B6A75">
      <w:pPr>
        <w:pStyle w:val="PL-Corpo"/>
        <w:rPr>
          <w:rFonts w:cs="Arial"/>
          <w:color w:val="000000"/>
        </w:rPr>
      </w:pPr>
    </w:p>
    <w:p w14:paraId="0C1E6386" w14:textId="77777777" w:rsidR="00C90751" w:rsidRDefault="003B6A75" w:rsidP="00C90751">
      <w:pPr>
        <w:pStyle w:val="Seo-PL"/>
      </w:pPr>
      <w:r w:rsidRPr="003B6A75">
        <w:t>Seção V</w:t>
      </w:r>
    </w:p>
    <w:p w14:paraId="18960BB2" w14:textId="27EB6214" w:rsidR="003B6A75" w:rsidRPr="003B6A75" w:rsidRDefault="003B6A75" w:rsidP="00C90751">
      <w:pPr>
        <w:pStyle w:val="Seo-PL"/>
      </w:pPr>
      <w:r w:rsidRPr="003B6A75">
        <w:t>O Equilíbrio Entre Receitas e Despesas</w:t>
      </w:r>
    </w:p>
    <w:p w14:paraId="23A6D2D1" w14:textId="77777777" w:rsidR="00C90751" w:rsidRDefault="00C90751" w:rsidP="003B6A75">
      <w:pPr>
        <w:pStyle w:val="PL-Corpo"/>
        <w:rPr>
          <w:rFonts w:cs="Arial"/>
          <w:color w:val="000000"/>
        </w:rPr>
      </w:pPr>
    </w:p>
    <w:p w14:paraId="4F4B65F5" w14:textId="5BB127FD"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22. A elaboração do Projeto, a aprovação e a execução da Lei Orçamentária serão orientadas no sentido de alcançar o superávit primário necessário para garantir uma trajetória de solidez financeira da administração municipal, conforme discriminado no Anexo de Metas Fiscais, constante desta Lei.</w:t>
      </w:r>
    </w:p>
    <w:p w14:paraId="687D15C1" w14:textId="77777777" w:rsidR="00C90751" w:rsidRDefault="00C90751" w:rsidP="003B6A75">
      <w:pPr>
        <w:pStyle w:val="PL-Corpo"/>
        <w:rPr>
          <w:rFonts w:cs="Arial"/>
          <w:color w:val="000000"/>
        </w:rPr>
      </w:pPr>
    </w:p>
    <w:p w14:paraId="1A934DFC" w14:textId="3C383A75"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23. Os Projetos de Lei que impliquem em diminuição de receita ou aumento de despesa do Município no exercício de 2025 deverão estar acompanhados de demonstrativos que discriminem o montante estimado da diminuição da receita ou do aumento da despesa, para cada um dos exercícios compreendidos no período de 2025 a 2027, demonstrando a memória de cálculo respectiva.</w:t>
      </w:r>
    </w:p>
    <w:p w14:paraId="20237831" w14:textId="4931861B"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Parágrafo Único. Não será aprovado Projeto de Lei que implique em aumento de despesa sem que estejam acompanhados das medidas definidas nos arts. 16 e 17 da Lei Complementar nº 101</w:t>
      </w:r>
      <w:r>
        <w:rPr>
          <w:rFonts w:cs="Arial"/>
          <w:color w:val="000000"/>
        </w:rPr>
        <w:t xml:space="preserve">, de </w:t>
      </w:r>
      <w:r w:rsidR="003B6A75" w:rsidRPr="003B6A75">
        <w:rPr>
          <w:rFonts w:cs="Arial"/>
          <w:color w:val="000000"/>
        </w:rPr>
        <w:t>2000.</w:t>
      </w:r>
    </w:p>
    <w:p w14:paraId="7342628B" w14:textId="77777777" w:rsidR="00C90751" w:rsidRDefault="00C90751" w:rsidP="003B6A75">
      <w:pPr>
        <w:pStyle w:val="PL-Corpo"/>
        <w:rPr>
          <w:rFonts w:cs="Arial"/>
          <w:color w:val="000000"/>
        </w:rPr>
      </w:pPr>
    </w:p>
    <w:p w14:paraId="0BC6B9C2" w14:textId="1B069EEA"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24. As estratégias para busca ou manutenção do equilíbrio entre as receitas e despesas poderão levar em conta as seguintes medidas:</w:t>
      </w:r>
    </w:p>
    <w:p w14:paraId="61D105AA" w14:textId="6566F869"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p</w:t>
      </w:r>
      <w:r w:rsidR="003B6A75" w:rsidRPr="003B6A75">
        <w:rPr>
          <w:rFonts w:cs="Arial"/>
          <w:color w:val="000000"/>
        </w:rPr>
        <w:t xml:space="preserve">ara </w:t>
      </w:r>
      <w:r w:rsidR="00D8382C">
        <w:rPr>
          <w:rFonts w:cs="Arial"/>
          <w:color w:val="000000"/>
        </w:rPr>
        <w:t>e</w:t>
      </w:r>
      <w:r w:rsidR="003B6A75" w:rsidRPr="003B6A75">
        <w:rPr>
          <w:rFonts w:cs="Arial"/>
          <w:color w:val="000000"/>
        </w:rPr>
        <w:t xml:space="preserve">levação das </w:t>
      </w:r>
      <w:r w:rsidR="00D8382C">
        <w:rPr>
          <w:rFonts w:cs="Arial"/>
          <w:color w:val="000000"/>
        </w:rPr>
        <w:t>r</w:t>
      </w:r>
      <w:r w:rsidR="003B6A75" w:rsidRPr="003B6A75">
        <w:rPr>
          <w:rFonts w:cs="Arial"/>
          <w:color w:val="000000"/>
        </w:rPr>
        <w:t>eceitas:</w:t>
      </w:r>
    </w:p>
    <w:p w14:paraId="2AD341D2" w14:textId="3059126C"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w:t>
      </w:r>
      <w:r>
        <w:rPr>
          <w:rFonts w:cs="Arial"/>
          <w:color w:val="000000"/>
        </w:rPr>
        <w:t>)</w:t>
      </w:r>
      <w:r w:rsidR="003B6A75" w:rsidRPr="003B6A75">
        <w:rPr>
          <w:rFonts w:cs="Arial"/>
          <w:color w:val="000000"/>
        </w:rPr>
        <w:t xml:space="preserve"> </w:t>
      </w:r>
      <w:r>
        <w:rPr>
          <w:rFonts w:cs="Arial"/>
          <w:color w:val="000000"/>
        </w:rPr>
        <w:t>a</w:t>
      </w:r>
      <w:r w:rsidR="003B6A75" w:rsidRPr="003B6A75">
        <w:rPr>
          <w:rFonts w:cs="Arial"/>
          <w:color w:val="000000"/>
        </w:rPr>
        <w:t xml:space="preserve"> implementação das medidas previstas nos arts. 18 e 19 desta Lei;</w:t>
      </w:r>
    </w:p>
    <w:p w14:paraId="0590E0D2" w14:textId="1DB24630"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b</w:t>
      </w:r>
      <w:r>
        <w:rPr>
          <w:rFonts w:cs="Arial"/>
          <w:color w:val="000000"/>
        </w:rPr>
        <w:t xml:space="preserve">) a </w:t>
      </w:r>
      <w:r w:rsidR="003B6A75" w:rsidRPr="003B6A75">
        <w:rPr>
          <w:rFonts w:cs="Arial"/>
          <w:color w:val="000000"/>
        </w:rPr>
        <w:t>atualização e informatização do cadastro imobiliário;</w:t>
      </w:r>
    </w:p>
    <w:p w14:paraId="220D8F5D" w14:textId="7E30F53A" w:rsidR="003B6A75" w:rsidRPr="003B6A75" w:rsidRDefault="00C90751" w:rsidP="003B6A75">
      <w:pPr>
        <w:pStyle w:val="PL-Corpo"/>
        <w:rPr>
          <w:rFonts w:cs="Arial"/>
          <w:color w:val="000000"/>
        </w:rPr>
      </w:pPr>
      <w:r>
        <w:rPr>
          <w:rFonts w:cs="Arial"/>
          <w:color w:val="000000"/>
        </w:rPr>
        <w:lastRenderedPageBreak/>
        <w:t xml:space="preserve"> </w:t>
      </w:r>
      <w:r>
        <w:rPr>
          <w:rFonts w:cs="Arial"/>
          <w:color w:val="000000"/>
        </w:rPr>
        <w:tab/>
      </w:r>
      <w:r w:rsidR="003B6A75" w:rsidRPr="003B6A75">
        <w:rPr>
          <w:rFonts w:cs="Arial"/>
          <w:color w:val="000000"/>
        </w:rPr>
        <w:t>c</w:t>
      </w:r>
      <w:r>
        <w:rPr>
          <w:rFonts w:cs="Arial"/>
          <w:color w:val="000000"/>
        </w:rPr>
        <w:t xml:space="preserve">) o </w:t>
      </w:r>
      <w:r w:rsidR="003B6A75" w:rsidRPr="003B6A75">
        <w:rPr>
          <w:rFonts w:cs="Arial"/>
          <w:color w:val="000000"/>
        </w:rPr>
        <w:t>chamamento geral dos contribuintes inscritos na Dívida Ativa e posterior execução fiscal.</w:t>
      </w:r>
    </w:p>
    <w:p w14:paraId="7D41A9AA" w14:textId="56DEA061"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p</w:t>
      </w:r>
      <w:r w:rsidR="003B6A75" w:rsidRPr="003B6A75">
        <w:rPr>
          <w:rFonts w:cs="Arial"/>
          <w:color w:val="000000"/>
        </w:rPr>
        <w:t xml:space="preserve">ara </w:t>
      </w:r>
      <w:r w:rsidR="00D8382C">
        <w:rPr>
          <w:rFonts w:cs="Arial"/>
          <w:color w:val="000000"/>
        </w:rPr>
        <w:t>r</w:t>
      </w:r>
      <w:r w:rsidR="003B6A75" w:rsidRPr="003B6A75">
        <w:rPr>
          <w:rFonts w:cs="Arial"/>
          <w:color w:val="000000"/>
        </w:rPr>
        <w:t xml:space="preserve">edução das </w:t>
      </w:r>
      <w:r w:rsidR="00D8382C">
        <w:rPr>
          <w:rFonts w:cs="Arial"/>
          <w:color w:val="000000"/>
        </w:rPr>
        <w:t>d</w:t>
      </w:r>
      <w:r w:rsidR="003B6A75" w:rsidRPr="003B6A75">
        <w:rPr>
          <w:rFonts w:cs="Arial"/>
          <w:color w:val="000000"/>
        </w:rPr>
        <w:t>espesas:</w:t>
      </w:r>
    </w:p>
    <w:p w14:paraId="5B16D884" w14:textId="62F0887C"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w:t>
      </w:r>
      <w:r>
        <w:rPr>
          <w:rFonts w:cs="Arial"/>
          <w:color w:val="000000"/>
        </w:rPr>
        <w:t>) a</w:t>
      </w:r>
      <w:r w:rsidR="003B6A75" w:rsidRPr="003B6A75">
        <w:rPr>
          <w:rFonts w:cs="Arial"/>
          <w:color w:val="000000"/>
        </w:rPr>
        <w:t xml:space="preserve"> utilização da modalidade licitação denominada de pregão e a implantação de rigorosa pesquisa de preços, de forma a baratear toda e qualquer compra e evitar a cartelização dos fornecedores;</w:t>
      </w:r>
    </w:p>
    <w:p w14:paraId="167D203D" w14:textId="4DB041A9" w:rsidR="003B6A75" w:rsidRPr="003B6A75" w:rsidRDefault="00C90751"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b</w:t>
      </w:r>
      <w:r>
        <w:rPr>
          <w:rFonts w:cs="Arial"/>
          <w:color w:val="000000"/>
        </w:rPr>
        <w:t>) a</w:t>
      </w:r>
      <w:r w:rsidR="003B6A75" w:rsidRPr="003B6A75">
        <w:rPr>
          <w:rFonts w:cs="Arial"/>
          <w:color w:val="000000"/>
        </w:rPr>
        <w:t xml:space="preserve"> revisão geral das gratificações concedidas aos servidores.</w:t>
      </w:r>
    </w:p>
    <w:p w14:paraId="594A874B" w14:textId="77777777" w:rsidR="003B6A75" w:rsidRPr="003B6A75" w:rsidRDefault="003B6A75" w:rsidP="001171B7">
      <w:pPr>
        <w:pStyle w:val="PL-Corpo"/>
      </w:pPr>
    </w:p>
    <w:p w14:paraId="462DBB3E" w14:textId="77777777" w:rsidR="001171B7" w:rsidRDefault="003B6A75" w:rsidP="001171B7">
      <w:pPr>
        <w:pStyle w:val="Seo-PL"/>
      </w:pPr>
      <w:r w:rsidRPr="003B6A75">
        <w:t>Seção VI</w:t>
      </w:r>
    </w:p>
    <w:p w14:paraId="1B353EDC" w14:textId="553DFD5D" w:rsidR="003B6A75" w:rsidRPr="003B6A75" w:rsidRDefault="003B6A75" w:rsidP="001171B7">
      <w:pPr>
        <w:pStyle w:val="Seo-PL"/>
      </w:pPr>
      <w:r w:rsidRPr="003B6A75">
        <w:t>Os Critérios e Formas de Limitação de Empenho</w:t>
      </w:r>
    </w:p>
    <w:p w14:paraId="1B977DED" w14:textId="77777777" w:rsidR="001171B7" w:rsidRDefault="001171B7" w:rsidP="003B6A75">
      <w:pPr>
        <w:pStyle w:val="PL-Corpo"/>
        <w:rPr>
          <w:rFonts w:cs="Arial"/>
          <w:color w:val="000000"/>
        </w:rPr>
      </w:pPr>
    </w:p>
    <w:p w14:paraId="64B94600" w14:textId="486489DF"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25. Na hipótese de ocorrência das circunstâncias estabelecidas no </w:t>
      </w:r>
      <w:r w:rsidR="003B6A75" w:rsidRPr="001171B7">
        <w:rPr>
          <w:rFonts w:cs="Arial"/>
          <w:i/>
          <w:iCs/>
          <w:color w:val="000000"/>
        </w:rPr>
        <w:t>caput</w:t>
      </w:r>
      <w:r w:rsidR="003B6A75" w:rsidRPr="003B6A75">
        <w:rPr>
          <w:rFonts w:cs="Arial"/>
          <w:color w:val="000000"/>
        </w:rPr>
        <w:t xml:space="preserve"> do art</w:t>
      </w:r>
      <w:r>
        <w:rPr>
          <w:rFonts w:cs="Arial"/>
          <w:color w:val="000000"/>
        </w:rPr>
        <w:t>.</w:t>
      </w:r>
      <w:r w:rsidR="003B6A75" w:rsidRPr="003B6A75">
        <w:rPr>
          <w:rFonts w:cs="Arial"/>
          <w:color w:val="000000"/>
        </w:rPr>
        <w:t xml:space="preserve"> 9º e no inciso II do §</w:t>
      </w:r>
      <w:r>
        <w:rPr>
          <w:rFonts w:cs="Arial"/>
          <w:color w:val="000000"/>
        </w:rPr>
        <w:t>º</w:t>
      </w:r>
      <w:r w:rsidR="003B6A75" w:rsidRPr="003B6A75">
        <w:rPr>
          <w:rFonts w:cs="Arial"/>
          <w:color w:val="000000"/>
        </w:rPr>
        <w:t xml:space="preserve"> 1º do art</w:t>
      </w:r>
      <w:r>
        <w:rPr>
          <w:rFonts w:cs="Arial"/>
          <w:color w:val="000000"/>
        </w:rPr>
        <w:t>.</w:t>
      </w:r>
      <w:r w:rsidR="003B6A75" w:rsidRPr="003B6A75">
        <w:rPr>
          <w:rFonts w:cs="Arial"/>
          <w:color w:val="000000"/>
        </w:rPr>
        <w:t xml:space="preserve"> 31, da Lei Complementar nº 101</w:t>
      </w:r>
      <w:r>
        <w:rPr>
          <w:rFonts w:cs="Arial"/>
          <w:color w:val="000000"/>
        </w:rPr>
        <w:t xml:space="preserve">, de </w:t>
      </w:r>
      <w:r w:rsidR="003B6A75" w:rsidRPr="003B6A75">
        <w:rPr>
          <w:rFonts w:cs="Arial"/>
          <w:color w:val="000000"/>
        </w:rPr>
        <w:t>2000, o Poder Executivo e o Poder Legislativo procederão à respectiva limitação de empenho e de movimentação financeira, calculada de forma proporcional à participação dos Poderes no total das dotações iniciais constantes da lei orçamentária de 2025, utilizando para tal fim as cotas orçamentárias e financeiras.</w:t>
      </w:r>
    </w:p>
    <w:p w14:paraId="32BF642A" w14:textId="22116BE2"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Parágrafo único. Excluem da limitação prevista no do </w:t>
      </w:r>
      <w:r w:rsidR="003B6A75" w:rsidRPr="001171B7">
        <w:rPr>
          <w:rFonts w:cs="Arial"/>
          <w:i/>
          <w:iCs/>
          <w:color w:val="000000"/>
        </w:rPr>
        <w:t>caput</w:t>
      </w:r>
      <w:r w:rsidR="003B6A75" w:rsidRPr="003B6A75">
        <w:rPr>
          <w:rFonts w:cs="Arial"/>
          <w:color w:val="000000"/>
        </w:rPr>
        <w:t xml:space="preserve"> deste artigo as despesas com pessoal e encargos sociais, as despesas com benefícios previdenciários, as despesas com amortização, juros e encargos da dívida, as despesas com PASEP, as despesas com pagamentos de precatórios e sentenças judiciais, as despesas que constituíam obrigação constitucional legal.</w:t>
      </w:r>
    </w:p>
    <w:p w14:paraId="737263E4" w14:textId="77777777" w:rsidR="003B6A75" w:rsidRPr="003B6A75" w:rsidRDefault="003B6A75" w:rsidP="003B6A75">
      <w:pPr>
        <w:pStyle w:val="PL-Corpo"/>
        <w:rPr>
          <w:rFonts w:cs="Arial"/>
          <w:color w:val="000000"/>
        </w:rPr>
      </w:pPr>
    </w:p>
    <w:p w14:paraId="7A5FE3B2" w14:textId="77777777" w:rsidR="001171B7" w:rsidRDefault="003B6A75" w:rsidP="001171B7">
      <w:pPr>
        <w:pStyle w:val="Seo-PL"/>
      </w:pPr>
      <w:r w:rsidRPr="003B6A75">
        <w:t>Seção VII</w:t>
      </w:r>
    </w:p>
    <w:p w14:paraId="066F0A5B" w14:textId="32EAF258" w:rsidR="003B6A75" w:rsidRPr="003B6A75" w:rsidRDefault="003B6A75" w:rsidP="001171B7">
      <w:pPr>
        <w:pStyle w:val="Seo-PL"/>
      </w:pPr>
      <w:r w:rsidRPr="003B6A75">
        <w:t>As Normas Relativas ao Controle de Custos e Avaliação dos Resultados dos Programas Financiados com Recursos dos Orçamentários</w:t>
      </w:r>
    </w:p>
    <w:p w14:paraId="1778DEFC" w14:textId="77777777" w:rsidR="001171B7" w:rsidRDefault="001171B7" w:rsidP="003B6A75">
      <w:pPr>
        <w:pStyle w:val="PL-Corpo"/>
        <w:rPr>
          <w:rFonts w:cs="Arial"/>
          <w:color w:val="000000"/>
        </w:rPr>
      </w:pPr>
    </w:p>
    <w:p w14:paraId="6CED0784" w14:textId="4A542D40"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26. O Poder Executivo realizará estudos visando a definição de sistema de controle de custos e a avaliação do resultado dos programas de governo.</w:t>
      </w:r>
    </w:p>
    <w:p w14:paraId="5C087D9F" w14:textId="77777777" w:rsidR="001171B7" w:rsidRDefault="001171B7" w:rsidP="003B6A75">
      <w:pPr>
        <w:pStyle w:val="PL-Corpo"/>
        <w:rPr>
          <w:rFonts w:cs="Arial"/>
        </w:rPr>
      </w:pPr>
    </w:p>
    <w:p w14:paraId="5C465793" w14:textId="3320833B" w:rsidR="003B6A75" w:rsidRPr="003B6A75" w:rsidRDefault="001171B7" w:rsidP="003B6A75">
      <w:pPr>
        <w:pStyle w:val="PL-Corpo"/>
        <w:rPr>
          <w:rFonts w:cs="Arial"/>
          <w:color w:val="000000"/>
        </w:rPr>
      </w:pPr>
      <w:r>
        <w:rPr>
          <w:rFonts w:cs="Arial"/>
        </w:rPr>
        <w:t xml:space="preserve"> </w:t>
      </w:r>
      <w:r>
        <w:rPr>
          <w:rFonts w:cs="Arial"/>
        </w:rPr>
        <w:tab/>
      </w:r>
      <w:r w:rsidR="003B6A75" w:rsidRPr="003B6A75">
        <w:rPr>
          <w:rFonts w:cs="Arial"/>
        </w:rPr>
        <w:t>Art. 27</w:t>
      </w:r>
      <w:r w:rsidR="003B6A75" w:rsidRPr="003B6A75">
        <w:rPr>
          <w:rFonts w:cs="Arial"/>
          <w:color w:val="000000"/>
        </w:rPr>
        <w:t>. Além de observar as demais diretrizes estabelecidas nesta Lei, a alocação dos recursos na Lei Orçamentária e em seus créditos adicionais, bem como a respectiva execução, serão feitas de forma a propiciar o controle de custos e a avaliação dos resultados dos programas de governo.</w:t>
      </w:r>
    </w:p>
    <w:p w14:paraId="119A8FBA" w14:textId="74E93E88"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1º. A Lei Orçamentária de 2025 e seus créditos adicionais deverão agregar todas as ações governamentais necessárias ao cumprimento dos objetivos dos respectivos programas, sendo que as ações governamentais que não contribuírem para a realização de um programa específico deverão ser agregadas num programa denominado “Apoio Administrativo” ou de nome semelhante.</w:t>
      </w:r>
    </w:p>
    <w:p w14:paraId="71888691" w14:textId="5CBF62D4"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§2</w:t>
      </w:r>
      <w:r>
        <w:rPr>
          <w:rFonts w:cs="Arial"/>
          <w:color w:val="000000"/>
        </w:rPr>
        <w:t xml:space="preserve"> </w:t>
      </w:r>
      <w:r w:rsidR="003B6A75" w:rsidRPr="003B6A75">
        <w:rPr>
          <w:rFonts w:cs="Arial"/>
          <w:color w:val="000000"/>
        </w:rPr>
        <w:t>º. Merecerá destaque o aprimoramento da gestão orçamentária, financeira e patrimonial, por intermédio da modernização dos instrumentos de planejamento, execução, avaliação e controle interno.</w:t>
      </w:r>
    </w:p>
    <w:p w14:paraId="1D9F6B21" w14:textId="32752A36"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3º. O Poder Executivo promoverá amplo esforço de redução de custos, otimização de gastos e reordenamento de despesas do setor público municipal, sobretudo pelo aumento da produtividade na prestação de serviços públicos e sociais.</w:t>
      </w:r>
    </w:p>
    <w:p w14:paraId="07DD8D9C" w14:textId="77777777" w:rsidR="003B6A75" w:rsidRPr="003B6A75" w:rsidRDefault="003B6A75" w:rsidP="003B6A75">
      <w:pPr>
        <w:pStyle w:val="PL-Corpo"/>
        <w:rPr>
          <w:rFonts w:cs="Arial"/>
          <w:color w:val="000000"/>
        </w:rPr>
      </w:pPr>
    </w:p>
    <w:p w14:paraId="183BE0ED" w14:textId="77777777" w:rsidR="001171B7" w:rsidRDefault="003B6A75" w:rsidP="001171B7">
      <w:pPr>
        <w:pStyle w:val="Seo-PL"/>
      </w:pPr>
      <w:r w:rsidRPr="003B6A75">
        <w:lastRenderedPageBreak/>
        <w:t>Seção VIII</w:t>
      </w:r>
    </w:p>
    <w:p w14:paraId="598E4B20" w14:textId="2EDABAC5" w:rsidR="003B6A75" w:rsidRPr="003B6A75" w:rsidRDefault="003B6A75" w:rsidP="001171B7">
      <w:pPr>
        <w:pStyle w:val="Seo-PL"/>
      </w:pPr>
      <w:r w:rsidRPr="003B6A75">
        <w:t>As Condições e Exigências para Transferências de Recursos a Entidades Públicas e Privadas</w:t>
      </w:r>
    </w:p>
    <w:p w14:paraId="7E33DF95" w14:textId="77777777" w:rsidR="001171B7" w:rsidRDefault="001171B7" w:rsidP="003B6A75">
      <w:pPr>
        <w:pStyle w:val="PL-Corpo"/>
        <w:rPr>
          <w:rFonts w:cs="Arial"/>
          <w:color w:val="000000"/>
        </w:rPr>
      </w:pPr>
    </w:p>
    <w:p w14:paraId="42E4DFF8" w14:textId="06D25617"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28. A destinação de recursos públicos para cobrir as necessidades de pessoas físicas ou jurídicas, deverá ser específica, atender as disposições especificadas nesta lei, estar prevista no orçamente e em seus créditos adicionais e acontecer sob as seguintes modalidades orçamentárias: “Aux</w:t>
      </w:r>
      <w:r>
        <w:rPr>
          <w:rFonts w:cs="Arial"/>
          <w:color w:val="000000"/>
        </w:rPr>
        <w:t>í</w:t>
      </w:r>
      <w:r w:rsidR="003B6A75" w:rsidRPr="003B6A75">
        <w:rPr>
          <w:rFonts w:cs="Arial"/>
          <w:color w:val="000000"/>
        </w:rPr>
        <w:t>lio, Contribuição e Subvenção.</w:t>
      </w:r>
    </w:p>
    <w:p w14:paraId="4304F992" w14:textId="77777777" w:rsidR="001171B7" w:rsidRDefault="001171B7" w:rsidP="003B6A75">
      <w:pPr>
        <w:pStyle w:val="PL-Corpo"/>
        <w:rPr>
          <w:rFonts w:cs="Arial"/>
          <w:color w:val="000000"/>
        </w:rPr>
      </w:pPr>
    </w:p>
    <w:p w14:paraId="617102A9" w14:textId="76A8DC09"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29. A conceção de </w:t>
      </w:r>
      <w:r w:rsidR="00D8382C" w:rsidRPr="003B6A75">
        <w:rPr>
          <w:rFonts w:cs="Arial"/>
          <w:color w:val="000000"/>
        </w:rPr>
        <w:t>auxílio</w:t>
      </w:r>
      <w:r w:rsidR="003B6A75" w:rsidRPr="003B6A75">
        <w:rPr>
          <w:rFonts w:cs="Arial"/>
          <w:color w:val="000000"/>
        </w:rPr>
        <w:t>, contribuição e subvenção social será concedida com a estrita observação dos seguintes aspectos:</w:t>
      </w:r>
    </w:p>
    <w:p w14:paraId="477FF7DE" w14:textId="617C1CF1"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a</w:t>
      </w:r>
      <w:r w:rsidR="003B6A75" w:rsidRPr="003B6A75">
        <w:rPr>
          <w:rFonts w:cs="Arial"/>
          <w:color w:val="000000"/>
        </w:rPr>
        <w:t>presentação da lei que a declare como entidade de utilidade pública;</w:t>
      </w:r>
    </w:p>
    <w:p w14:paraId="1354DDC3" w14:textId="31536B84"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a</w:t>
      </w:r>
      <w:r w:rsidR="003B6A75" w:rsidRPr="003B6A75">
        <w:rPr>
          <w:rFonts w:cs="Arial"/>
          <w:color w:val="000000"/>
        </w:rPr>
        <w:t>presentação da declaração de efetivo funcionamento nos últimos dois anos emitida pela autoridade local;</w:t>
      </w:r>
    </w:p>
    <w:p w14:paraId="39CC3AB6" w14:textId="24745AE3"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III – </w:t>
      </w:r>
      <w:r>
        <w:rPr>
          <w:rFonts w:cs="Arial"/>
          <w:color w:val="000000"/>
        </w:rPr>
        <w:t>a</w:t>
      </w:r>
      <w:r w:rsidR="003B6A75" w:rsidRPr="003B6A75">
        <w:rPr>
          <w:rFonts w:cs="Arial"/>
          <w:color w:val="000000"/>
        </w:rPr>
        <w:t>presentação do comprovante de regularidade do mandato da diretoria;</w:t>
      </w:r>
    </w:p>
    <w:p w14:paraId="6AF52CC9" w14:textId="60650932"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IV – </w:t>
      </w:r>
      <w:r>
        <w:rPr>
          <w:rFonts w:cs="Arial"/>
          <w:color w:val="000000"/>
        </w:rPr>
        <w:t>a</w:t>
      </w:r>
      <w:r w:rsidR="003B6A75" w:rsidRPr="003B6A75">
        <w:rPr>
          <w:rFonts w:cs="Arial"/>
          <w:color w:val="000000"/>
        </w:rPr>
        <w:t>presentação do comprovante da atividade de natureza continuada;</w:t>
      </w:r>
    </w:p>
    <w:p w14:paraId="5AC3FE99" w14:textId="59FBCCB7"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 – </w:t>
      </w:r>
      <w:r>
        <w:rPr>
          <w:rFonts w:cs="Arial"/>
          <w:color w:val="000000"/>
        </w:rPr>
        <w:t>a</w:t>
      </w:r>
      <w:r w:rsidR="003B6A75" w:rsidRPr="003B6A75">
        <w:rPr>
          <w:rFonts w:cs="Arial"/>
          <w:color w:val="000000"/>
        </w:rPr>
        <w:t>presentação de certificado de adimplência fiscal;</w:t>
      </w:r>
    </w:p>
    <w:p w14:paraId="2C0B1CDC" w14:textId="53B81E14"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 – </w:t>
      </w:r>
      <w:r>
        <w:rPr>
          <w:rFonts w:cs="Arial"/>
          <w:color w:val="000000"/>
        </w:rPr>
        <w:t>s</w:t>
      </w:r>
      <w:r w:rsidR="003B6A75" w:rsidRPr="003B6A75">
        <w:rPr>
          <w:rFonts w:cs="Arial"/>
          <w:color w:val="000000"/>
        </w:rPr>
        <w:t>er entidade sem fins lucrativos;</w:t>
      </w:r>
    </w:p>
    <w:p w14:paraId="415EDF44" w14:textId="12AB2699"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VII – </w:t>
      </w:r>
      <w:r>
        <w:rPr>
          <w:rFonts w:cs="Arial"/>
          <w:color w:val="000000"/>
        </w:rPr>
        <w:t>c</w:t>
      </w:r>
      <w:r w:rsidR="003B6A75" w:rsidRPr="003B6A75">
        <w:rPr>
          <w:rFonts w:cs="Arial"/>
          <w:color w:val="000000"/>
        </w:rPr>
        <w:t>elebração de convênio definindo a regência do objeto pactuado;</w:t>
      </w:r>
    </w:p>
    <w:p w14:paraId="6FA80825" w14:textId="4A6E73ED"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VIII – </w:t>
      </w:r>
      <w:r>
        <w:rPr>
          <w:rFonts w:cs="Arial"/>
          <w:color w:val="000000"/>
        </w:rPr>
        <w:t>a</w:t>
      </w:r>
      <w:r w:rsidR="003B6A75" w:rsidRPr="003B6A75">
        <w:rPr>
          <w:rFonts w:cs="Arial"/>
          <w:color w:val="000000"/>
        </w:rPr>
        <w:t>presentação do plano de trabalho;</w:t>
      </w:r>
    </w:p>
    <w:p w14:paraId="1C4D687B" w14:textId="1C0F1060"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IX – </w:t>
      </w:r>
      <w:r>
        <w:rPr>
          <w:rFonts w:cs="Arial"/>
          <w:color w:val="000000"/>
        </w:rPr>
        <w:t>a</w:t>
      </w:r>
      <w:r w:rsidR="003B6A75" w:rsidRPr="003B6A75">
        <w:rPr>
          <w:rFonts w:cs="Arial"/>
          <w:color w:val="000000"/>
        </w:rPr>
        <w:t>presentação da prestação de contas do recurso recebido, submetendo-se a fiscalização do Poder Executivo, com a finalidade de verificar o cumprimento dos objetivos para os quais receberam os recursos;</w:t>
      </w:r>
    </w:p>
    <w:p w14:paraId="60AE0608" w14:textId="45F0D51C"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X – </w:t>
      </w:r>
      <w:r>
        <w:rPr>
          <w:rFonts w:cs="Arial"/>
          <w:color w:val="000000"/>
        </w:rPr>
        <w:t>n</w:t>
      </w:r>
      <w:r w:rsidR="003B6A75" w:rsidRPr="003B6A75">
        <w:rPr>
          <w:rFonts w:cs="Arial"/>
          <w:color w:val="000000"/>
        </w:rPr>
        <w:t>ão possuir débito de prestação de contas de recursos recebidos anteriormente.</w:t>
      </w:r>
    </w:p>
    <w:p w14:paraId="0F2A4876" w14:textId="2ADAFAA7"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1º. Para a concessão de subvenção social ainda deverá ser observado:</w:t>
      </w:r>
    </w:p>
    <w:p w14:paraId="642A8B64" w14:textId="1A3D5B9C"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a</w:t>
      </w:r>
      <w:r w:rsidR="003B6A75" w:rsidRPr="003B6A75">
        <w:rPr>
          <w:rFonts w:cs="Arial"/>
          <w:color w:val="000000"/>
        </w:rPr>
        <w:t xml:space="preserve"> destinação para a cobertura de despesas correntes (custeio);</w:t>
      </w:r>
    </w:p>
    <w:p w14:paraId="4F3261D4" w14:textId="7D232C5A"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s</w:t>
      </w:r>
      <w:r w:rsidR="003B6A75" w:rsidRPr="003B6A75">
        <w:rPr>
          <w:rFonts w:cs="Arial"/>
          <w:color w:val="000000"/>
        </w:rPr>
        <w:t>er entidade sem fim lucrativo na área de assistência social, saúde e educação, de atendimento direto e gratuito ao público, colocando à disposição da comunidade bem e serviço, existindo assim a contraprestação de serviço.</w:t>
      </w:r>
    </w:p>
    <w:p w14:paraId="5ADFEE70" w14:textId="71A824EE"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2º. Para a concessão de aux</w:t>
      </w:r>
      <w:r>
        <w:rPr>
          <w:rFonts w:cs="Arial"/>
          <w:color w:val="000000"/>
        </w:rPr>
        <w:t>í</w:t>
      </w:r>
      <w:r w:rsidR="003B6A75" w:rsidRPr="003B6A75">
        <w:rPr>
          <w:rFonts w:cs="Arial"/>
          <w:color w:val="000000"/>
        </w:rPr>
        <w:t>lio ainda deverá ser observado:</w:t>
      </w:r>
    </w:p>
    <w:p w14:paraId="5BCB1228" w14:textId="0A4756B5"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a</w:t>
      </w:r>
      <w:r w:rsidR="003B6A75" w:rsidRPr="003B6A75">
        <w:rPr>
          <w:rFonts w:cs="Arial"/>
          <w:color w:val="000000"/>
        </w:rPr>
        <w:t xml:space="preserve"> destinação para cobertura para despesa de capital (investimento);</w:t>
      </w:r>
    </w:p>
    <w:p w14:paraId="18846FB6" w14:textId="40C7E1F9"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s</w:t>
      </w:r>
      <w:r w:rsidR="003B6A75" w:rsidRPr="003B6A75">
        <w:rPr>
          <w:rFonts w:cs="Arial"/>
          <w:color w:val="000000"/>
        </w:rPr>
        <w:t>er entidade sem fim lucrativo, cujo recurso seja exclusivamente par cobrir despesa de investimento, independente da contraprestação direta de bem e serviço.</w:t>
      </w:r>
    </w:p>
    <w:p w14:paraId="2BBE512A" w14:textId="7F23DD1C"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3º. Para a concessão de contribuição ainda deverá ser observado:</w:t>
      </w:r>
    </w:p>
    <w:p w14:paraId="3F3C8D01" w14:textId="151A730F"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a</w:t>
      </w:r>
      <w:r w:rsidR="003B6A75" w:rsidRPr="003B6A75">
        <w:rPr>
          <w:rFonts w:cs="Arial"/>
          <w:color w:val="000000"/>
        </w:rPr>
        <w:t xml:space="preserve"> destinação para a cobertura para despesa corrente (custeio) e ou para despesa de capital (investimento);</w:t>
      </w:r>
    </w:p>
    <w:p w14:paraId="10FA238D" w14:textId="707D31D1"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s</w:t>
      </w:r>
      <w:r w:rsidR="003B6A75" w:rsidRPr="003B6A75">
        <w:rPr>
          <w:rFonts w:cs="Arial"/>
          <w:color w:val="000000"/>
        </w:rPr>
        <w:t>er entidade se fim lucrativo, cujo recurso seja para despesa corrente ou capital, independente da contraprestação direta de bem e serviço, e não seja reembolsável pelo recebedor.</w:t>
      </w:r>
    </w:p>
    <w:p w14:paraId="5B06FB39" w14:textId="77777777" w:rsidR="001171B7" w:rsidRDefault="001171B7" w:rsidP="003B6A75">
      <w:pPr>
        <w:pStyle w:val="PL-Corpo"/>
        <w:rPr>
          <w:rFonts w:cs="Arial"/>
        </w:rPr>
      </w:pPr>
    </w:p>
    <w:p w14:paraId="673296F0" w14:textId="30DDDC0C" w:rsidR="003B6A75" w:rsidRPr="003B6A75" w:rsidRDefault="001171B7" w:rsidP="003B6A75">
      <w:pPr>
        <w:pStyle w:val="PL-Corpo"/>
        <w:rPr>
          <w:rFonts w:cs="Arial"/>
        </w:rPr>
      </w:pPr>
      <w:r>
        <w:rPr>
          <w:rFonts w:cs="Arial"/>
        </w:rPr>
        <w:t xml:space="preserve"> </w:t>
      </w:r>
      <w:r>
        <w:rPr>
          <w:rFonts w:cs="Arial"/>
        </w:rPr>
        <w:tab/>
      </w:r>
      <w:r w:rsidR="003B6A75" w:rsidRPr="003B6A75">
        <w:rPr>
          <w:rFonts w:cs="Arial"/>
        </w:rPr>
        <w:t>Art. 30. A subvenção econômica é concedida à empresa pública, de caráter industrial, comercial, agrícola ou pastoril, com fim lucrativo, sendo destinada para cobrir déficit de manutenção ou de funcionamento de empresa pública, para cobrir a diferença entre o preço de mercado e o preço de revenda pelo governo de gênero alimentício ou outro material, para pagamento de bonificação a produtor de determinado gênero ou material, de acordo com o ar</w:t>
      </w:r>
      <w:r w:rsidR="000A2AE2">
        <w:rPr>
          <w:rFonts w:cs="Arial"/>
        </w:rPr>
        <w:t>t.</w:t>
      </w:r>
      <w:r w:rsidR="003B6A75" w:rsidRPr="003B6A75">
        <w:rPr>
          <w:rFonts w:cs="Arial"/>
        </w:rPr>
        <w:t xml:space="preserve"> 19 da Lei nº 4.320</w:t>
      </w:r>
      <w:r w:rsidR="000A2AE2">
        <w:rPr>
          <w:rFonts w:cs="Arial"/>
        </w:rPr>
        <w:t>, de 19</w:t>
      </w:r>
      <w:r w:rsidR="003B6A75" w:rsidRPr="003B6A75">
        <w:rPr>
          <w:rFonts w:cs="Arial"/>
        </w:rPr>
        <w:t>64, devendo ser autorizada por meio de lei especial;</w:t>
      </w:r>
    </w:p>
    <w:p w14:paraId="76A8746E" w14:textId="77777777" w:rsidR="001171B7" w:rsidRDefault="001171B7" w:rsidP="003B6A75">
      <w:pPr>
        <w:pStyle w:val="PL-Corpo"/>
        <w:rPr>
          <w:rFonts w:cs="Arial"/>
          <w:color w:val="000000"/>
        </w:rPr>
      </w:pPr>
    </w:p>
    <w:p w14:paraId="1AD5504E" w14:textId="554FD64D" w:rsidR="003B6A75" w:rsidRPr="003B6A75" w:rsidRDefault="001171B7" w:rsidP="003B6A75">
      <w:pPr>
        <w:pStyle w:val="PL-Corpo"/>
        <w:rPr>
          <w:rFonts w:cs="Arial"/>
          <w:color w:val="000000"/>
        </w:rPr>
      </w:pPr>
      <w:r>
        <w:rPr>
          <w:rFonts w:cs="Arial"/>
          <w:color w:val="000000"/>
        </w:rPr>
        <w:lastRenderedPageBreak/>
        <w:t xml:space="preserve"> </w:t>
      </w:r>
      <w:r>
        <w:rPr>
          <w:rFonts w:cs="Arial"/>
          <w:color w:val="000000"/>
        </w:rPr>
        <w:tab/>
      </w:r>
      <w:r w:rsidR="003B6A75" w:rsidRPr="003B6A75">
        <w:rPr>
          <w:rFonts w:cs="Arial"/>
          <w:color w:val="000000"/>
        </w:rPr>
        <w:t>Art. 31. É vedada a destinação, na Lei Orçamentária e em seus créditos adicionais, de recursos para diretamente cobrir necessidades de pessoas físicas, ressalvadas as que atendam às exigências do art</w:t>
      </w:r>
      <w:r w:rsidR="000A2AE2">
        <w:rPr>
          <w:rFonts w:cs="Arial"/>
          <w:color w:val="000000"/>
        </w:rPr>
        <w:t>.</w:t>
      </w:r>
      <w:r w:rsidR="003B6A75" w:rsidRPr="003B6A75">
        <w:rPr>
          <w:rFonts w:cs="Arial"/>
          <w:color w:val="000000"/>
        </w:rPr>
        <w:t xml:space="preserve"> 26 da Lei Complementar nº 101</w:t>
      </w:r>
      <w:r>
        <w:rPr>
          <w:rFonts w:cs="Arial"/>
          <w:color w:val="000000"/>
        </w:rPr>
        <w:t xml:space="preserve">, de </w:t>
      </w:r>
      <w:r w:rsidR="003B6A75" w:rsidRPr="003B6A75">
        <w:rPr>
          <w:rFonts w:cs="Arial"/>
          <w:color w:val="000000"/>
        </w:rPr>
        <w:t xml:space="preserve">2000, e sejam observadas as condições definidas em lei </w:t>
      </w:r>
      <w:r w:rsidR="00D8382C" w:rsidRPr="003B6A75">
        <w:rPr>
          <w:rFonts w:cs="Arial"/>
          <w:color w:val="000000"/>
        </w:rPr>
        <w:t>específica</w:t>
      </w:r>
      <w:r w:rsidR="003B6A75" w:rsidRPr="003B6A75">
        <w:rPr>
          <w:rFonts w:cs="Arial"/>
          <w:color w:val="000000"/>
        </w:rPr>
        <w:t>.</w:t>
      </w:r>
    </w:p>
    <w:p w14:paraId="04766F05" w14:textId="7B24B887"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Parágrafo único. As normas do </w:t>
      </w:r>
      <w:r w:rsidR="003B6A75" w:rsidRPr="001171B7">
        <w:rPr>
          <w:rFonts w:cs="Arial"/>
          <w:i/>
          <w:iCs/>
          <w:color w:val="000000"/>
        </w:rPr>
        <w:t>caput</w:t>
      </w:r>
      <w:r w:rsidR="003B6A75" w:rsidRPr="003B6A75">
        <w:rPr>
          <w:rFonts w:cs="Arial"/>
          <w:color w:val="000000"/>
        </w:rPr>
        <w:t xml:space="preserve"> deste artigo, não se aplicam a ajuda a pessoas físicas custeadas pelos recursos do Sistema Único de Saúde – SUS.</w:t>
      </w:r>
    </w:p>
    <w:p w14:paraId="75BFEA6D" w14:textId="77777777" w:rsidR="001171B7" w:rsidRDefault="001171B7" w:rsidP="003B6A75">
      <w:pPr>
        <w:pStyle w:val="PL-Corpo"/>
        <w:rPr>
          <w:rFonts w:cs="Arial"/>
          <w:color w:val="000000"/>
        </w:rPr>
      </w:pPr>
    </w:p>
    <w:p w14:paraId="4E8DCC83" w14:textId="062D6477"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32. A transferência de recursos financeiros de um órgão para outro, inclusive da Prefeitura Municipal para a Câmara Municipal, fica limitada ao valor previsto na Lei Orçamentária Anual e em seus créditos adicionais, calculada de acordo com o limite de repasse legal.</w:t>
      </w:r>
    </w:p>
    <w:p w14:paraId="30EB922F" w14:textId="6BF5DAF7"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Parágrafo único. O aumento da transferência de recursos financeiros da Prefeitura Municipal para a Câmara Municipal, somente poderá ocorrer mediante prévia autorização legislativa, conforme determina o art</w:t>
      </w:r>
      <w:r w:rsidR="000A2AE2">
        <w:rPr>
          <w:rFonts w:cs="Arial"/>
          <w:color w:val="000000"/>
        </w:rPr>
        <w:t>.</w:t>
      </w:r>
      <w:r w:rsidR="003B6A75" w:rsidRPr="003B6A75">
        <w:rPr>
          <w:rFonts w:cs="Arial"/>
          <w:color w:val="000000"/>
        </w:rPr>
        <w:t xml:space="preserve"> 167, inciso VI</w:t>
      </w:r>
      <w:r w:rsidR="000A2AE2">
        <w:rPr>
          <w:rFonts w:cs="Arial"/>
          <w:color w:val="000000"/>
        </w:rPr>
        <w:t>,</w:t>
      </w:r>
      <w:r w:rsidR="003B6A75" w:rsidRPr="003B6A75">
        <w:rPr>
          <w:rFonts w:cs="Arial"/>
          <w:color w:val="000000"/>
        </w:rPr>
        <w:t xml:space="preserve"> da Constituição Federal.</w:t>
      </w:r>
    </w:p>
    <w:p w14:paraId="45B77C13" w14:textId="77777777" w:rsidR="001171B7" w:rsidRDefault="001171B7" w:rsidP="003B6A75">
      <w:pPr>
        <w:pStyle w:val="PL-Corpo"/>
        <w:rPr>
          <w:rFonts w:cs="Arial"/>
        </w:rPr>
      </w:pPr>
    </w:p>
    <w:p w14:paraId="5853F1AF" w14:textId="0DA0B8D8" w:rsidR="003B6A75" w:rsidRPr="003B6A75" w:rsidRDefault="001171B7" w:rsidP="003B6A75">
      <w:pPr>
        <w:pStyle w:val="PL-Corpo"/>
        <w:rPr>
          <w:rFonts w:cs="Arial"/>
          <w:color w:val="000000"/>
        </w:rPr>
      </w:pPr>
      <w:r>
        <w:rPr>
          <w:rFonts w:cs="Arial"/>
        </w:rPr>
        <w:t xml:space="preserve"> </w:t>
      </w:r>
      <w:r>
        <w:rPr>
          <w:rFonts w:cs="Arial"/>
        </w:rPr>
        <w:tab/>
      </w:r>
      <w:r w:rsidR="003B6A75" w:rsidRPr="003B6A75">
        <w:rPr>
          <w:rFonts w:cs="Arial"/>
        </w:rPr>
        <w:t>Art. 33.</w:t>
      </w:r>
      <w:r w:rsidR="003B6A75" w:rsidRPr="003B6A75">
        <w:rPr>
          <w:rFonts w:cs="Arial"/>
          <w:color w:val="000000"/>
        </w:rPr>
        <w:t xml:space="preserve"> Fica o Poder Executivo autorizado a fazer repasse de recursos públicos a Organizações da Sociedade Civil mediante celebração de parcerias tendo por objeto a execução de atividade ou projeto de competência do Município e deverão ser especificamente autorizadas em lei municipal e formalizada por meio de Termo de Fomento ou Termo de Colaboração, em consonância com a Lei nº 13.019</w:t>
      </w:r>
      <w:r>
        <w:rPr>
          <w:rFonts w:cs="Arial"/>
          <w:color w:val="000000"/>
        </w:rPr>
        <w:t xml:space="preserve">, de </w:t>
      </w:r>
      <w:r w:rsidR="003B6A75" w:rsidRPr="003B6A75">
        <w:rPr>
          <w:rFonts w:cs="Arial"/>
          <w:color w:val="000000"/>
        </w:rPr>
        <w:t>2014.</w:t>
      </w:r>
    </w:p>
    <w:p w14:paraId="276BB3E5" w14:textId="29B0B364"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1º. A celebração, execução e prestação de contas obedecerão aos critérios e prazos estabelecidos em legislação federal e municipal pertinentes, bem como nas instruções editadas pelo Tribunal de Contas do Estado de Minas Gerais.</w:t>
      </w:r>
    </w:p>
    <w:p w14:paraId="69E1328D" w14:textId="05B7C544"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2º. Fica vedada a concessão de repasses financeiros às entidades que não prestarem contas dos recursos anteriormente recebidos, assim como às que não tiverem suas contas aprovadas pela executivo Municipal.</w:t>
      </w:r>
    </w:p>
    <w:p w14:paraId="7F5D4DAB" w14:textId="77777777" w:rsidR="003B6A75" w:rsidRPr="003B6A75" w:rsidRDefault="003B6A75" w:rsidP="003B6A75">
      <w:pPr>
        <w:pStyle w:val="PL-Corpo"/>
        <w:rPr>
          <w:rFonts w:cs="Arial"/>
          <w:color w:val="000000"/>
        </w:rPr>
      </w:pPr>
    </w:p>
    <w:p w14:paraId="5D180254" w14:textId="77777777" w:rsidR="001171B7" w:rsidRDefault="003B6A75" w:rsidP="001171B7">
      <w:pPr>
        <w:pStyle w:val="Seo-PL"/>
      </w:pPr>
      <w:r w:rsidRPr="003B6A75">
        <w:t>Seção IX</w:t>
      </w:r>
    </w:p>
    <w:p w14:paraId="3979A264" w14:textId="67D4784D" w:rsidR="003B6A75" w:rsidRPr="003B6A75" w:rsidRDefault="003B6A75" w:rsidP="001171B7">
      <w:pPr>
        <w:pStyle w:val="Seo-PL"/>
      </w:pPr>
      <w:r w:rsidRPr="003B6A75">
        <w:t>A Autorização para o Município Auxiliar no Custeio de Despesas de Competência de Outros Entes da Federação</w:t>
      </w:r>
    </w:p>
    <w:p w14:paraId="69E2C49C" w14:textId="77777777" w:rsidR="001171B7" w:rsidRDefault="001171B7" w:rsidP="003B6A75">
      <w:pPr>
        <w:pStyle w:val="PL-Corpo"/>
        <w:rPr>
          <w:rFonts w:cs="Arial"/>
          <w:color w:val="000000"/>
        </w:rPr>
      </w:pPr>
    </w:p>
    <w:p w14:paraId="0A57A72E" w14:textId="4FBEE84D"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34. É vedada a inclusão, na Lei Orçamentária e em seus créditos adicionais, de dotações para que o Município contribua para o custeio de despesas de competência de outro ente da federação, ressalvadas as autorizadas mediante Lei específica e que sejam destinadas ao atendimento das situações que envolvam claramente o interesse local.</w:t>
      </w:r>
    </w:p>
    <w:p w14:paraId="5FB542CF" w14:textId="6EA9A76F"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Parágrafo Único. A realização da despesa definida no </w:t>
      </w:r>
      <w:r w:rsidR="003B6A75" w:rsidRPr="001171B7">
        <w:rPr>
          <w:rFonts w:cs="Arial"/>
          <w:i/>
          <w:iCs/>
          <w:color w:val="000000"/>
        </w:rPr>
        <w:t>caput</w:t>
      </w:r>
      <w:r w:rsidR="003B6A75" w:rsidRPr="003B6A75">
        <w:rPr>
          <w:rFonts w:cs="Arial"/>
          <w:color w:val="000000"/>
        </w:rPr>
        <w:t xml:space="preserve"> deste artigo deverá ser precedida da aprovação de plano de trabalho e da celebração de convênio, de acordo com o </w:t>
      </w:r>
      <w:r>
        <w:rPr>
          <w:rFonts w:cs="Arial"/>
          <w:color w:val="000000"/>
        </w:rPr>
        <w:t>a</w:t>
      </w:r>
      <w:r w:rsidR="003B6A75" w:rsidRPr="003B6A75">
        <w:rPr>
          <w:rFonts w:cs="Arial"/>
          <w:color w:val="000000"/>
        </w:rPr>
        <w:t>rt. 184-A da Lei Federal nº 14.133</w:t>
      </w:r>
      <w:r>
        <w:rPr>
          <w:rFonts w:cs="Arial"/>
          <w:color w:val="000000"/>
        </w:rPr>
        <w:t xml:space="preserve">, de </w:t>
      </w:r>
      <w:r w:rsidR="003B6A75" w:rsidRPr="003B6A75">
        <w:rPr>
          <w:rFonts w:cs="Arial"/>
          <w:color w:val="000000"/>
        </w:rPr>
        <w:t>2021, e o art</w:t>
      </w:r>
      <w:r>
        <w:rPr>
          <w:rFonts w:cs="Arial"/>
          <w:color w:val="000000"/>
        </w:rPr>
        <w:t>.</w:t>
      </w:r>
      <w:r w:rsidR="003B6A75" w:rsidRPr="003B6A75">
        <w:rPr>
          <w:rFonts w:cs="Arial"/>
          <w:color w:val="000000"/>
        </w:rPr>
        <w:t xml:space="preserve"> 62 da Lei Complementar nº 101</w:t>
      </w:r>
      <w:r>
        <w:rPr>
          <w:rFonts w:cs="Arial"/>
          <w:color w:val="000000"/>
        </w:rPr>
        <w:t>, de 20</w:t>
      </w:r>
      <w:r w:rsidR="003B6A75" w:rsidRPr="003B6A75">
        <w:rPr>
          <w:rFonts w:cs="Arial"/>
          <w:color w:val="000000"/>
        </w:rPr>
        <w:t>00.</w:t>
      </w:r>
    </w:p>
    <w:p w14:paraId="47D0FAC1" w14:textId="77777777" w:rsidR="003B6A75" w:rsidRPr="003B6A75" w:rsidRDefault="003B6A75" w:rsidP="001171B7">
      <w:pPr>
        <w:pStyle w:val="PL-Corpo"/>
      </w:pPr>
    </w:p>
    <w:p w14:paraId="39CA8057" w14:textId="77777777" w:rsidR="001171B7" w:rsidRDefault="003B6A75" w:rsidP="001171B7">
      <w:pPr>
        <w:pStyle w:val="Seo-PL"/>
      </w:pPr>
      <w:r w:rsidRPr="003B6A75">
        <w:t>Seção X</w:t>
      </w:r>
    </w:p>
    <w:p w14:paraId="3730AC1C" w14:textId="77D8232D" w:rsidR="003B6A75" w:rsidRPr="003B6A75" w:rsidRDefault="003B6A75" w:rsidP="001171B7">
      <w:pPr>
        <w:pStyle w:val="Seo-PL"/>
      </w:pPr>
      <w:r w:rsidRPr="003B6A75">
        <w:t>Os Parâmetros para a Elaboração da Programação Financeira e do Cronograma Mensal de Desembolso</w:t>
      </w:r>
    </w:p>
    <w:p w14:paraId="2B6561B5" w14:textId="77777777" w:rsidR="001171B7" w:rsidRDefault="001171B7" w:rsidP="003B6A75">
      <w:pPr>
        <w:pStyle w:val="PL-Corpo"/>
        <w:rPr>
          <w:rFonts w:cs="Arial"/>
          <w:color w:val="000000"/>
        </w:rPr>
      </w:pPr>
    </w:p>
    <w:p w14:paraId="61477A86" w14:textId="1D40362A"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35. O Poder Executivo estabelecerá por ato próprio, até 30 (trinta) dias após a publicação da Lei Orçamentária de 2025, as metas bimestrais de arrecadação, a programação </w:t>
      </w:r>
      <w:r w:rsidR="003B6A75" w:rsidRPr="003B6A75">
        <w:rPr>
          <w:rFonts w:cs="Arial"/>
          <w:color w:val="000000"/>
        </w:rPr>
        <w:lastRenderedPageBreak/>
        <w:t>financeira e o cronograma mensal de desembolso, respectivamente, nos termos dos arts. 13 e 8º da Lei Complementar nº 101</w:t>
      </w:r>
      <w:r w:rsidR="000A2AE2">
        <w:rPr>
          <w:rFonts w:cs="Arial"/>
          <w:color w:val="000000"/>
        </w:rPr>
        <w:t xml:space="preserve">, de </w:t>
      </w:r>
      <w:r w:rsidR="003B6A75" w:rsidRPr="003B6A75">
        <w:rPr>
          <w:rFonts w:cs="Arial"/>
          <w:color w:val="000000"/>
        </w:rPr>
        <w:t>2000.</w:t>
      </w:r>
    </w:p>
    <w:p w14:paraId="0E34440B" w14:textId="21385A35"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 xml:space="preserve">1º. Para atender ao </w:t>
      </w:r>
      <w:r w:rsidR="003B6A75" w:rsidRPr="001171B7">
        <w:rPr>
          <w:rFonts w:cs="Arial"/>
          <w:i/>
          <w:iCs/>
          <w:color w:val="000000"/>
        </w:rPr>
        <w:t>caput</w:t>
      </w:r>
      <w:r w:rsidR="003B6A75" w:rsidRPr="003B6A75">
        <w:rPr>
          <w:rFonts w:cs="Arial"/>
          <w:color w:val="000000"/>
        </w:rPr>
        <w:t xml:space="preserve"> deste artigo, o Poder Legislativo encaminhará ao Órgão Central de Contabilidade do Município, até 15 (quinze) dias após a publicação da Lei Orçamentária de 2025, os seguintes demonstrativos:</w:t>
      </w:r>
    </w:p>
    <w:p w14:paraId="062319EA" w14:textId="7C8C84AE"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a</w:t>
      </w:r>
      <w:r w:rsidR="003B6A75" w:rsidRPr="003B6A75">
        <w:rPr>
          <w:rFonts w:cs="Arial"/>
          <w:color w:val="000000"/>
        </w:rPr>
        <w:t xml:space="preserve">s metas mensais de arrecadação de receitas, de forma a atender o disposto no </w:t>
      </w:r>
      <w:r>
        <w:rPr>
          <w:rFonts w:cs="Arial"/>
          <w:color w:val="000000"/>
        </w:rPr>
        <w:t>a</w:t>
      </w:r>
      <w:r w:rsidR="003B6A75" w:rsidRPr="003B6A75">
        <w:rPr>
          <w:rFonts w:cs="Arial"/>
          <w:color w:val="000000"/>
        </w:rPr>
        <w:t>rt. 13 da Lei Complementar nº 101</w:t>
      </w:r>
      <w:r>
        <w:rPr>
          <w:rFonts w:cs="Arial"/>
          <w:color w:val="000000"/>
        </w:rPr>
        <w:t xml:space="preserve">, de </w:t>
      </w:r>
      <w:r w:rsidR="003B6A75" w:rsidRPr="003B6A75">
        <w:rPr>
          <w:rFonts w:cs="Arial"/>
          <w:color w:val="000000"/>
        </w:rPr>
        <w:t>2000;</w:t>
      </w:r>
    </w:p>
    <w:p w14:paraId="0BA5D72A" w14:textId="3F59D34B"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a</w:t>
      </w:r>
      <w:r w:rsidR="003B6A75" w:rsidRPr="003B6A75">
        <w:rPr>
          <w:rFonts w:cs="Arial"/>
          <w:color w:val="000000"/>
        </w:rPr>
        <w:t xml:space="preserve"> programação financeira das despesas, nos termos do </w:t>
      </w:r>
      <w:r>
        <w:rPr>
          <w:rFonts w:cs="Arial"/>
          <w:color w:val="000000"/>
        </w:rPr>
        <w:t>a</w:t>
      </w:r>
      <w:r w:rsidR="003B6A75" w:rsidRPr="003B6A75">
        <w:rPr>
          <w:rFonts w:cs="Arial"/>
          <w:color w:val="000000"/>
        </w:rPr>
        <w:t>rt. 8º da Lei Complementar nº 101</w:t>
      </w:r>
      <w:r>
        <w:rPr>
          <w:rFonts w:cs="Arial"/>
          <w:color w:val="000000"/>
        </w:rPr>
        <w:t xml:space="preserve">, de </w:t>
      </w:r>
      <w:r w:rsidR="003B6A75" w:rsidRPr="003B6A75">
        <w:rPr>
          <w:rFonts w:cs="Arial"/>
          <w:color w:val="000000"/>
        </w:rPr>
        <w:t>2000;</w:t>
      </w:r>
    </w:p>
    <w:p w14:paraId="743C1FBA" w14:textId="7B7ADAC7" w:rsidR="003B6A75" w:rsidRPr="003B6A75" w:rsidRDefault="001171B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III – </w:t>
      </w:r>
      <w:r>
        <w:rPr>
          <w:rFonts w:cs="Arial"/>
          <w:color w:val="000000"/>
        </w:rPr>
        <w:t>o</w:t>
      </w:r>
      <w:r w:rsidR="003B6A75" w:rsidRPr="003B6A75">
        <w:rPr>
          <w:rFonts w:cs="Arial"/>
          <w:color w:val="000000"/>
        </w:rPr>
        <w:t xml:space="preserve"> cronograma mensal de desembolso, incluídos os pagamentos dos restos a pagar, nos termos do </w:t>
      </w:r>
      <w:r>
        <w:rPr>
          <w:rFonts w:cs="Arial"/>
          <w:color w:val="000000"/>
        </w:rPr>
        <w:t>a</w:t>
      </w:r>
      <w:r w:rsidR="003B6A75" w:rsidRPr="003B6A75">
        <w:rPr>
          <w:rFonts w:cs="Arial"/>
          <w:color w:val="000000"/>
        </w:rPr>
        <w:t>rt. 8º da Lei Complementar nº 101</w:t>
      </w:r>
      <w:r>
        <w:rPr>
          <w:rFonts w:cs="Arial"/>
          <w:color w:val="000000"/>
        </w:rPr>
        <w:t xml:space="preserve">, de </w:t>
      </w:r>
      <w:r w:rsidR="003B6A75" w:rsidRPr="003B6A75">
        <w:rPr>
          <w:rFonts w:cs="Arial"/>
          <w:color w:val="000000"/>
        </w:rPr>
        <w:t>2000.</w:t>
      </w:r>
    </w:p>
    <w:p w14:paraId="419A089F" w14:textId="5356CEE5"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2º. O Poder Executivo deverá dar publicidade às metas bimestrais de arrecadação, à programação financeira e ao cronograma mensal de desembolso, no órgão oficial de publicação do Município até 30 (trinta) dias após a publicação da Lei Orçamentária de 2025;</w:t>
      </w:r>
    </w:p>
    <w:p w14:paraId="4D49A4E3" w14:textId="48289DC3"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 xml:space="preserve">3º. A programação financeira e o cronograma mensal de desembolso de que trata o </w:t>
      </w:r>
      <w:r w:rsidR="003B6A75" w:rsidRPr="001171B7">
        <w:rPr>
          <w:rFonts w:cs="Arial"/>
          <w:i/>
          <w:iCs/>
          <w:color w:val="000000"/>
        </w:rPr>
        <w:t>caput</w:t>
      </w:r>
      <w:r w:rsidR="003B6A75" w:rsidRPr="003B6A75">
        <w:rPr>
          <w:rFonts w:cs="Arial"/>
          <w:color w:val="000000"/>
        </w:rPr>
        <w:t xml:space="preserve"> deste artigo deverão ser elaborados de forma a garantir o cumprimento da meta de resultado primário estabelecida nesta Lei.</w:t>
      </w:r>
    </w:p>
    <w:p w14:paraId="1D476C3D" w14:textId="77777777" w:rsidR="003B6A75" w:rsidRPr="003B6A75" w:rsidRDefault="003B6A75" w:rsidP="003B6A75">
      <w:pPr>
        <w:pStyle w:val="PL-Corpo"/>
        <w:rPr>
          <w:rFonts w:cs="Arial"/>
          <w:color w:val="000000"/>
        </w:rPr>
      </w:pPr>
    </w:p>
    <w:p w14:paraId="07787C11" w14:textId="77777777" w:rsidR="009B6CBA" w:rsidRDefault="003B6A75" w:rsidP="009B6CBA">
      <w:pPr>
        <w:pStyle w:val="Seo-PL"/>
      </w:pPr>
      <w:r w:rsidRPr="003B6A75">
        <w:t>Seção XI</w:t>
      </w:r>
    </w:p>
    <w:p w14:paraId="5810167B" w14:textId="2390DCEF" w:rsidR="003B6A75" w:rsidRPr="003B6A75" w:rsidRDefault="003B6A75" w:rsidP="009B6CBA">
      <w:pPr>
        <w:pStyle w:val="Seo-PL"/>
      </w:pPr>
      <w:r w:rsidRPr="003B6A75">
        <w:t>Definição de Critérios para Início de Novos Projetos</w:t>
      </w:r>
    </w:p>
    <w:p w14:paraId="09EF832B" w14:textId="77777777" w:rsidR="009B6CBA" w:rsidRDefault="009B6CBA" w:rsidP="003B6A75">
      <w:pPr>
        <w:pStyle w:val="PL-Corpo"/>
        <w:rPr>
          <w:rFonts w:cs="Arial"/>
          <w:color w:val="000000"/>
        </w:rPr>
      </w:pPr>
    </w:p>
    <w:p w14:paraId="7C3B60F8" w14:textId="259D77CC"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36. Além da observância das metas e prioridades definidas nos termos do art</w:t>
      </w:r>
      <w:r w:rsidR="000A2AE2">
        <w:rPr>
          <w:rFonts w:cs="Arial"/>
          <w:color w:val="000000"/>
        </w:rPr>
        <w:t>.</w:t>
      </w:r>
      <w:r w:rsidR="003B6A75" w:rsidRPr="003B6A75">
        <w:rPr>
          <w:rFonts w:cs="Arial"/>
          <w:color w:val="000000"/>
        </w:rPr>
        <w:t xml:space="preserve"> 2º desta Lei, a lei orçamentária de 2025 e seus créditos adicionais, observado o disposto no </w:t>
      </w:r>
      <w:r>
        <w:rPr>
          <w:rFonts w:cs="Arial"/>
          <w:color w:val="000000"/>
        </w:rPr>
        <w:t>a</w:t>
      </w:r>
      <w:r w:rsidR="003B6A75" w:rsidRPr="003B6A75">
        <w:rPr>
          <w:rFonts w:cs="Arial"/>
          <w:color w:val="000000"/>
        </w:rPr>
        <w:t>rt. 45 da Lei Complementar nº 101</w:t>
      </w:r>
      <w:r>
        <w:rPr>
          <w:rFonts w:cs="Arial"/>
          <w:color w:val="000000"/>
        </w:rPr>
        <w:t xml:space="preserve">, de </w:t>
      </w:r>
      <w:r w:rsidR="003B6A75" w:rsidRPr="003B6A75">
        <w:rPr>
          <w:rFonts w:cs="Arial"/>
          <w:color w:val="000000"/>
        </w:rPr>
        <w:t>2000, somente incluirão projetos novos se:</w:t>
      </w:r>
    </w:p>
    <w:p w14:paraId="0D0406B4" w14:textId="5C96CB74"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 – </w:t>
      </w:r>
      <w:r>
        <w:rPr>
          <w:rFonts w:cs="Arial"/>
          <w:color w:val="000000"/>
        </w:rPr>
        <w:t>e</w:t>
      </w:r>
      <w:r w:rsidR="003B6A75" w:rsidRPr="003B6A75">
        <w:rPr>
          <w:rFonts w:cs="Arial"/>
          <w:color w:val="000000"/>
        </w:rPr>
        <w:t xml:space="preserve">stiverem compatíveis com o Plano Plurianual de 2022 </w:t>
      </w:r>
      <w:r>
        <w:rPr>
          <w:rFonts w:cs="Arial"/>
          <w:color w:val="000000"/>
        </w:rPr>
        <w:t>a</w:t>
      </w:r>
      <w:r w:rsidR="003B6A75" w:rsidRPr="003B6A75">
        <w:rPr>
          <w:rFonts w:cs="Arial"/>
          <w:color w:val="000000"/>
        </w:rPr>
        <w:t xml:space="preserve"> 2025 e com as normas desta Lei;</w:t>
      </w:r>
    </w:p>
    <w:p w14:paraId="6E81DD90" w14:textId="7CE9DD52"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 – </w:t>
      </w:r>
      <w:r>
        <w:rPr>
          <w:rFonts w:cs="Arial"/>
          <w:color w:val="000000"/>
        </w:rPr>
        <w:t>a</w:t>
      </w:r>
      <w:r w:rsidR="003B6A75" w:rsidRPr="003B6A75">
        <w:rPr>
          <w:rFonts w:cs="Arial"/>
          <w:color w:val="000000"/>
        </w:rPr>
        <w:t>s dotações consignadas às obras já iniciadas forem suficientes para atendimento de seu cronograma físico-financeiro;</w:t>
      </w:r>
    </w:p>
    <w:p w14:paraId="071DC3AB" w14:textId="6F1D24C6"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III – </w:t>
      </w:r>
      <w:r>
        <w:rPr>
          <w:rFonts w:cs="Arial"/>
          <w:color w:val="000000"/>
        </w:rPr>
        <w:t>e</w:t>
      </w:r>
      <w:r w:rsidR="003B6A75" w:rsidRPr="003B6A75">
        <w:rPr>
          <w:rFonts w:cs="Arial"/>
          <w:color w:val="000000"/>
        </w:rPr>
        <w:t>stiverem preservados os recursos necessários à conservação do patrimônio público;</w:t>
      </w:r>
    </w:p>
    <w:p w14:paraId="1BE82F65" w14:textId="6141131C"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IV – </w:t>
      </w:r>
      <w:r>
        <w:rPr>
          <w:rFonts w:cs="Arial"/>
          <w:color w:val="000000"/>
        </w:rPr>
        <w:t>o</w:t>
      </w:r>
      <w:r w:rsidR="003B6A75" w:rsidRPr="003B6A75">
        <w:rPr>
          <w:rFonts w:cs="Arial"/>
          <w:color w:val="000000"/>
        </w:rPr>
        <w:t>s recursos alocados que destinarem-se a convênios de recursos federais e estaduais, bem como a contrapartida exigida ou ainda de operações de crédito.</w:t>
      </w:r>
    </w:p>
    <w:p w14:paraId="356EF8FA" w14:textId="1897CB11"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Parágrafo </w:t>
      </w:r>
      <w:r>
        <w:rPr>
          <w:rFonts w:cs="Arial"/>
          <w:color w:val="000000"/>
        </w:rPr>
        <w:t>ú</w:t>
      </w:r>
      <w:r w:rsidR="003B6A75" w:rsidRPr="003B6A75">
        <w:rPr>
          <w:rFonts w:cs="Arial"/>
          <w:color w:val="000000"/>
        </w:rPr>
        <w:t>nico. Considera-se projeto em andamento para os efeitos desta Lei, aquele cuja execução iniciar-se até a data de encaminhamento da proposta orçamentária de 2025, cujo cronograma de execução ultrapasse o término do exercício de 2024.</w:t>
      </w:r>
    </w:p>
    <w:p w14:paraId="7D526D00" w14:textId="77777777" w:rsidR="003B6A75" w:rsidRPr="003B6A75" w:rsidRDefault="003B6A75" w:rsidP="003B6A75">
      <w:pPr>
        <w:pStyle w:val="PL-Corpo"/>
        <w:rPr>
          <w:rFonts w:cs="Arial"/>
          <w:color w:val="000000"/>
        </w:rPr>
      </w:pPr>
    </w:p>
    <w:p w14:paraId="2C576B43" w14:textId="77777777" w:rsidR="009B6CBA" w:rsidRDefault="003B6A75" w:rsidP="009B6CBA">
      <w:pPr>
        <w:pStyle w:val="Seo-PL"/>
      </w:pPr>
      <w:r w:rsidRPr="003B6A75">
        <w:t>Seção XII</w:t>
      </w:r>
    </w:p>
    <w:p w14:paraId="5E2CA590" w14:textId="68AF68E1" w:rsidR="003B6A75" w:rsidRPr="003B6A75" w:rsidRDefault="003B6A75" w:rsidP="009B6CBA">
      <w:pPr>
        <w:pStyle w:val="Seo-PL"/>
      </w:pPr>
      <w:r w:rsidRPr="003B6A75">
        <w:t>A Definição de Despesas Consideradas Irrelevantes</w:t>
      </w:r>
    </w:p>
    <w:p w14:paraId="05E1C447" w14:textId="77777777" w:rsidR="009B6CBA" w:rsidRDefault="009B6CBA" w:rsidP="003B6A75">
      <w:pPr>
        <w:pStyle w:val="PL-Corpo"/>
        <w:rPr>
          <w:rFonts w:cs="Arial"/>
          <w:color w:val="000000"/>
        </w:rPr>
      </w:pPr>
    </w:p>
    <w:p w14:paraId="71D87C39" w14:textId="5A70AEAA"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37. Para fins do disposto no §</w:t>
      </w:r>
      <w:r>
        <w:rPr>
          <w:rFonts w:cs="Arial"/>
          <w:color w:val="000000"/>
        </w:rPr>
        <w:t xml:space="preserve"> </w:t>
      </w:r>
      <w:r w:rsidR="003B6A75" w:rsidRPr="003B6A75">
        <w:rPr>
          <w:rFonts w:cs="Arial"/>
          <w:color w:val="000000"/>
        </w:rPr>
        <w:t>3º do art</w:t>
      </w:r>
      <w:r>
        <w:rPr>
          <w:rFonts w:cs="Arial"/>
          <w:color w:val="000000"/>
        </w:rPr>
        <w:t>.</w:t>
      </w:r>
      <w:r w:rsidR="003B6A75" w:rsidRPr="003B6A75">
        <w:rPr>
          <w:rFonts w:cs="Arial"/>
          <w:color w:val="000000"/>
        </w:rPr>
        <w:t xml:space="preserve"> 16 da Lei Complementar nº 101</w:t>
      </w:r>
      <w:r>
        <w:rPr>
          <w:rFonts w:cs="Arial"/>
          <w:color w:val="000000"/>
        </w:rPr>
        <w:t xml:space="preserve">, de </w:t>
      </w:r>
      <w:r w:rsidR="003B6A75" w:rsidRPr="003B6A75">
        <w:rPr>
          <w:rFonts w:cs="Arial"/>
          <w:color w:val="000000"/>
        </w:rPr>
        <w:t>2000, são consideradas despesas irrelevantes, aquelas cujo valor não ultrapasse os limites previstos nos incisos I e II do art</w:t>
      </w:r>
      <w:r>
        <w:rPr>
          <w:rFonts w:cs="Arial"/>
          <w:color w:val="000000"/>
        </w:rPr>
        <w:t>.</w:t>
      </w:r>
      <w:r w:rsidR="003B6A75" w:rsidRPr="003B6A75">
        <w:rPr>
          <w:rFonts w:cs="Arial"/>
          <w:color w:val="000000"/>
        </w:rPr>
        <w:t xml:space="preserve"> 75 da Lei Federal nº 14.133</w:t>
      </w:r>
      <w:r>
        <w:rPr>
          <w:rFonts w:cs="Arial"/>
          <w:color w:val="000000"/>
        </w:rPr>
        <w:t xml:space="preserve">, de </w:t>
      </w:r>
      <w:r w:rsidR="003B6A75" w:rsidRPr="003B6A75">
        <w:rPr>
          <w:rFonts w:cs="Arial"/>
          <w:color w:val="000000"/>
        </w:rPr>
        <w:t>2021, nos casos, respectivamente, de obras e serviços de engenharia e de outros serviços e compras.</w:t>
      </w:r>
    </w:p>
    <w:p w14:paraId="19227AAA" w14:textId="77777777" w:rsidR="003B6A75" w:rsidRPr="003B6A75" w:rsidRDefault="003B6A75" w:rsidP="003B6A75">
      <w:pPr>
        <w:pStyle w:val="PL-Corpo"/>
        <w:rPr>
          <w:rFonts w:cs="Arial"/>
          <w:color w:val="000000"/>
        </w:rPr>
      </w:pPr>
    </w:p>
    <w:p w14:paraId="5EE6B24E" w14:textId="77777777" w:rsidR="009B6CBA" w:rsidRDefault="003B6A75" w:rsidP="009B6CBA">
      <w:pPr>
        <w:pStyle w:val="Seo-PL"/>
      </w:pPr>
      <w:r w:rsidRPr="003B6A75">
        <w:t>Seção XIII</w:t>
      </w:r>
    </w:p>
    <w:p w14:paraId="5AC88B39" w14:textId="751FC573" w:rsidR="003B6A75" w:rsidRDefault="003B6A75" w:rsidP="009B6CBA">
      <w:pPr>
        <w:pStyle w:val="Seo-PL"/>
      </w:pPr>
      <w:r w:rsidRPr="003B6A75">
        <w:t>Incentivo À Participação Popular</w:t>
      </w:r>
    </w:p>
    <w:p w14:paraId="3ABD6BBE" w14:textId="77777777" w:rsidR="009B6CBA" w:rsidRPr="009B6CBA" w:rsidRDefault="009B6CBA" w:rsidP="009B6CBA">
      <w:pPr>
        <w:pStyle w:val="PL-Corpo"/>
      </w:pPr>
    </w:p>
    <w:p w14:paraId="5A91DDC6" w14:textId="67BB7574"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38. O projeto de lei orçamentária, relativo ao exercício financeiro de 2025, deverá assegurar a transparência na elaboração e na execução do orçamento.</w:t>
      </w:r>
    </w:p>
    <w:p w14:paraId="28F5ED7E" w14:textId="205BA527"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Parágrafo </w:t>
      </w:r>
      <w:r>
        <w:rPr>
          <w:rFonts w:cs="Arial"/>
          <w:color w:val="000000"/>
        </w:rPr>
        <w:t>ú</w:t>
      </w:r>
      <w:r w:rsidR="003B6A75" w:rsidRPr="003B6A75">
        <w:rPr>
          <w:rFonts w:cs="Arial"/>
          <w:color w:val="000000"/>
        </w:rPr>
        <w:t>nico. O princípio da transparência implica, além da observância do princípio constitucional da publicidade, na utilização dos meios disponíveis para garantir o efetivo acesso dos munícipes, às informações relativas ao orçamento.</w:t>
      </w:r>
    </w:p>
    <w:p w14:paraId="7DA4B836" w14:textId="77777777" w:rsidR="003B6A75" w:rsidRPr="003B6A75" w:rsidRDefault="003B6A75" w:rsidP="003B6A75">
      <w:pPr>
        <w:pStyle w:val="PL-Corpo"/>
        <w:rPr>
          <w:rFonts w:cs="Arial"/>
          <w:color w:val="000000"/>
        </w:rPr>
      </w:pPr>
    </w:p>
    <w:p w14:paraId="63F7A1F7" w14:textId="77777777" w:rsidR="009B6CBA" w:rsidRDefault="003B6A75" w:rsidP="009B6CBA">
      <w:pPr>
        <w:pStyle w:val="Seo-PL"/>
      </w:pPr>
      <w:r w:rsidRPr="003B6A75">
        <w:t>Seção XIV</w:t>
      </w:r>
    </w:p>
    <w:p w14:paraId="333BEDB9" w14:textId="263F42EF" w:rsidR="003B6A75" w:rsidRPr="003B6A75" w:rsidRDefault="003B6A75" w:rsidP="009B6CBA">
      <w:pPr>
        <w:pStyle w:val="Seo-PL"/>
      </w:pPr>
      <w:r w:rsidRPr="003B6A75">
        <w:t>As Disposições Gerais</w:t>
      </w:r>
    </w:p>
    <w:p w14:paraId="52C57449" w14:textId="77777777" w:rsidR="009B6CBA" w:rsidRDefault="009B6CBA" w:rsidP="003B6A75">
      <w:pPr>
        <w:pStyle w:val="PL-Corpo"/>
        <w:rPr>
          <w:rFonts w:cs="Arial"/>
          <w:color w:val="000000"/>
        </w:rPr>
      </w:pPr>
    </w:p>
    <w:p w14:paraId="1D1BA0A9" w14:textId="2B0EC2D2"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39. O Poder Executivo poderá, mediante decreto, transpor, remanejar, transferir ou utilizar, total ou parcialmente de dotações orçamentarias aprovadas na Lei Orçamentária de 2025 e em seus créditos adicionais, em decorrência de extinção, transformação, transferência, incorporação ou desmembramento de órgãos e entidades, bem como de alterações de sua competência ou atribuições, mantida a estrutura programática, expressa por categoria de programação, conforme definida no art</w:t>
      </w:r>
      <w:r>
        <w:rPr>
          <w:rFonts w:cs="Arial"/>
          <w:color w:val="000000"/>
        </w:rPr>
        <w:t>.</w:t>
      </w:r>
      <w:r w:rsidR="003B6A75" w:rsidRPr="003B6A75">
        <w:rPr>
          <w:rFonts w:cs="Arial"/>
          <w:color w:val="000000"/>
        </w:rPr>
        <w:t xml:space="preserve"> 3º, desta Lei.</w:t>
      </w:r>
    </w:p>
    <w:p w14:paraId="47EF2DB0" w14:textId="7F53EECD"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1º. As categorias de programação, aprovadas na lei orçamentária de 2025 e em seus créditos adicionais, poderão ser modificadas, por meio de decreto, para atender às necessidades de execução, desde que verificada a inviabilidade técnica, operacional ou econômica da execução do crédito, criando, quando necessário, novas naturezas de despesa.</w:t>
      </w:r>
    </w:p>
    <w:p w14:paraId="3DB89EEA" w14:textId="593A2B49"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 xml:space="preserve">2º. As modificações a que se refere este artigo também poderão ocorrer quando da abertura de créditos suplementares autorizados na lei orçamentária, os quais deverão ser abertos mediante decreto do Poder Executivo, utilizando os recursos previstos no </w:t>
      </w:r>
      <w:r>
        <w:rPr>
          <w:rFonts w:cs="Arial"/>
          <w:color w:val="000000"/>
        </w:rPr>
        <w:t>a</w:t>
      </w:r>
      <w:r w:rsidR="003B6A75" w:rsidRPr="003B6A75">
        <w:rPr>
          <w:rFonts w:cs="Arial"/>
          <w:color w:val="000000"/>
        </w:rPr>
        <w:t>rt. 43 da Lei nº 4.320</w:t>
      </w:r>
      <w:r>
        <w:rPr>
          <w:rFonts w:cs="Arial"/>
          <w:color w:val="000000"/>
        </w:rPr>
        <w:t xml:space="preserve">, de </w:t>
      </w:r>
      <w:r w:rsidR="003B6A75" w:rsidRPr="003B6A75">
        <w:rPr>
          <w:rFonts w:cs="Arial"/>
          <w:color w:val="000000"/>
        </w:rPr>
        <w:t>1964.</w:t>
      </w:r>
    </w:p>
    <w:p w14:paraId="4FCEAAB2" w14:textId="77777777" w:rsidR="009B6CBA" w:rsidRDefault="009B6CBA" w:rsidP="003B6A75">
      <w:pPr>
        <w:pStyle w:val="PL-Corpo"/>
        <w:rPr>
          <w:rFonts w:cs="Arial"/>
          <w:color w:val="000000"/>
        </w:rPr>
      </w:pPr>
    </w:p>
    <w:p w14:paraId="6EB55903" w14:textId="1011A101"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40. O Município poderá realizar, no curso da execução orçamentária, a inclusão de outras fontes de recurso e a alteração do código da fonte e destinação de recursos aprovados na Lei Orçamentária de 2025, para atender às suas peculiaridades.</w:t>
      </w:r>
    </w:p>
    <w:p w14:paraId="3E24B868" w14:textId="48B37339"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 xml:space="preserve">1º. Não se considera abertura de crédito adicional suplementar a modificação do código da fonte e destinação de recursos de que trata o </w:t>
      </w:r>
      <w:r w:rsidR="003B6A75" w:rsidRPr="001171B7">
        <w:rPr>
          <w:rFonts w:cs="Arial"/>
          <w:i/>
          <w:iCs/>
          <w:color w:val="000000"/>
        </w:rPr>
        <w:t>caput</w:t>
      </w:r>
      <w:r w:rsidR="003B6A75" w:rsidRPr="003B6A75">
        <w:rPr>
          <w:rFonts w:cs="Arial"/>
          <w:color w:val="000000"/>
        </w:rPr>
        <w:t xml:space="preserve"> deste artigo.</w:t>
      </w:r>
    </w:p>
    <w:p w14:paraId="21C3526A" w14:textId="6BC57B7D"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 xml:space="preserve">2º. As modificações de que trata o </w:t>
      </w:r>
      <w:r w:rsidR="003B6A75" w:rsidRPr="001171B7">
        <w:rPr>
          <w:rFonts w:cs="Arial"/>
          <w:i/>
          <w:iCs/>
          <w:color w:val="000000"/>
        </w:rPr>
        <w:t>caput</w:t>
      </w:r>
      <w:r w:rsidR="003B6A75" w:rsidRPr="003B6A75">
        <w:rPr>
          <w:rFonts w:cs="Arial"/>
          <w:color w:val="000000"/>
        </w:rPr>
        <w:t xml:space="preserve"> deste artigo serão efetuadas por ato do Chefe do Poder Executivo, devidamente justificadas, observando-se o padrão estabelecido pelo Tribunal de Contas do Estado de Minas Gerais, obedecendo ainda as normas sobre a matéria editadas pela Secretaria do Tesouro Nacional.</w:t>
      </w:r>
    </w:p>
    <w:p w14:paraId="5883AF37" w14:textId="77777777" w:rsidR="009B6CBA" w:rsidRDefault="009B6CBA" w:rsidP="003B6A75">
      <w:pPr>
        <w:pStyle w:val="PL-Corpo"/>
        <w:rPr>
          <w:rFonts w:cs="Arial"/>
          <w:color w:val="000000"/>
        </w:rPr>
      </w:pPr>
    </w:p>
    <w:p w14:paraId="5D3D5DCF" w14:textId="01E2BBED"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41. A abertura de créditos suplementares e especiais dependerá de prévia autorização legislativa e da existência de recursos disponíveis para cobrir a despesa, nos termos da Lei nº 4.320</w:t>
      </w:r>
      <w:r>
        <w:rPr>
          <w:rFonts w:cs="Arial"/>
          <w:color w:val="000000"/>
        </w:rPr>
        <w:t xml:space="preserve">, de </w:t>
      </w:r>
      <w:r w:rsidR="003B6A75" w:rsidRPr="003B6A75">
        <w:rPr>
          <w:rFonts w:cs="Arial"/>
          <w:color w:val="000000"/>
        </w:rPr>
        <w:t>1964</w:t>
      </w:r>
      <w:r>
        <w:rPr>
          <w:rFonts w:cs="Arial"/>
          <w:color w:val="000000"/>
        </w:rPr>
        <w:t>,</w:t>
      </w:r>
      <w:r w:rsidR="003B6A75" w:rsidRPr="003B6A75">
        <w:rPr>
          <w:rFonts w:cs="Arial"/>
          <w:color w:val="000000"/>
        </w:rPr>
        <w:t xml:space="preserve"> e da Constituição da República.</w:t>
      </w:r>
    </w:p>
    <w:p w14:paraId="1644BBF9" w14:textId="04DF69DE"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1º. A lei orçamentária conterá autorização e disporá sobre o limite para a abertura de créditos adicionais suplementares.</w:t>
      </w:r>
    </w:p>
    <w:p w14:paraId="65EBF6E7" w14:textId="5E979FE2"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2º. Acompanharão os projetos de leis relativos a créditos adicionais exposições de motivos circunstanciadas que os justifiquem.</w:t>
      </w:r>
    </w:p>
    <w:p w14:paraId="41747934" w14:textId="77777777" w:rsidR="009B6CBA" w:rsidRDefault="009B6CBA" w:rsidP="003B6A75">
      <w:pPr>
        <w:pStyle w:val="PL-Corpo"/>
        <w:rPr>
          <w:rFonts w:cs="Arial"/>
          <w:color w:val="000000"/>
        </w:rPr>
      </w:pPr>
    </w:p>
    <w:p w14:paraId="286BE5A5" w14:textId="227006BF"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42. A abertura de créditos especiais dependerá de previa autorização legislativa e da existência de recursos disponíveis para cobrir a despesa, nos termos da Lei Federal nº 4.320</w:t>
      </w:r>
      <w:r>
        <w:rPr>
          <w:rFonts w:cs="Arial"/>
          <w:color w:val="000000"/>
        </w:rPr>
        <w:t>, de 19</w:t>
      </w:r>
      <w:r w:rsidR="003B6A75" w:rsidRPr="003B6A75">
        <w:rPr>
          <w:rFonts w:cs="Arial"/>
          <w:color w:val="000000"/>
        </w:rPr>
        <w:t>64 e da Constituição Federal.</w:t>
      </w:r>
    </w:p>
    <w:p w14:paraId="4E55A9BB" w14:textId="65F3BF43" w:rsidR="003B6A75" w:rsidRPr="003B6A75" w:rsidRDefault="009B6CBA" w:rsidP="003B6A75">
      <w:pPr>
        <w:pStyle w:val="PL-Corpo"/>
        <w:rPr>
          <w:rFonts w:cs="Arial"/>
          <w:color w:val="000000"/>
        </w:rPr>
      </w:pPr>
      <w:r>
        <w:rPr>
          <w:rFonts w:cs="Arial"/>
          <w:color w:val="000000"/>
        </w:rPr>
        <w:lastRenderedPageBreak/>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1º. Acompanharão os projetos de lei relativos a créditos adicionais especiais, exposições de motivos circunstanciadas que os justifiquem e que indiquem as consequências dos cancelamentos de dotações propostos.</w:t>
      </w:r>
    </w:p>
    <w:p w14:paraId="59CE7F50" w14:textId="77777777" w:rsidR="009B6CBA" w:rsidRDefault="009B6CBA" w:rsidP="003B6A75">
      <w:pPr>
        <w:pStyle w:val="PL-Corpo"/>
        <w:rPr>
          <w:rFonts w:cs="Arial"/>
          <w:color w:val="000000"/>
        </w:rPr>
      </w:pPr>
    </w:p>
    <w:p w14:paraId="475D4D04" w14:textId="34E08C25"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43. A reabertura dos créditos especiais e extraordinários, conforme disposto no art</w:t>
      </w:r>
      <w:r w:rsidR="000A2AE2">
        <w:rPr>
          <w:rFonts w:cs="Arial"/>
          <w:color w:val="000000"/>
        </w:rPr>
        <w:t>.</w:t>
      </w:r>
      <w:r w:rsidR="003B6A75" w:rsidRPr="003B6A75">
        <w:rPr>
          <w:rFonts w:cs="Arial"/>
          <w:color w:val="000000"/>
        </w:rPr>
        <w:t xml:space="preserve"> 167</w:t>
      </w:r>
      <w:r>
        <w:rPr>
          <w:rFonts w:cs="Arial"/>
          <w:color w:val="000000"/>
        </w:rPr>
        <w:t>,</w:t>
      </w:r>
      <w:r w:rsidR="003B6A75" w:rsidRPr="003B6A75">
        <w:rPr>
          <w:rFonts w:cs="Arial"/>
          <w:color w:val="000000"/>
        </w:rPr>
        <w:t xml:space="preserve"> §</w:t>
      </w:r>
      <w:r>
        <w:rPr>
          <w:rFonts w:cs="Arial"/>
          <w:color w:val="000000"/>
        </w:rPr>
        <w:t xml:space="preserve"> </w:t>
      </w:r>
      <w:r w:rsidR="003B6A75" w:rsidRPr="003B6A75">
        <w:rPr>
          <w:rFonts w:cs="Arial"/>
          <w:color w:val="000000"/>
        </w:rPr>
        <w:t>2º, da Constituição da República, será efetivada mediante decreto do Prefeito Municipal, utilizando os recursos previstos no art</w:t>
      </w:r>
      <w:r>
        <w:rPr>
          <w:rFonts w:cs="Arial"/>
          <w:color w:val="000000"/>
        </w:rPr>
        <w:t>.</w:t>
      </w:r>
      <w:r w:rsidR="003B6A75" w:rsidRPr="003B6A75">
        <w:rPr>
          <w:rFonts w:cs="Arial"/>
          <w:color w:val="000000"/>
        </w:rPr>
        <w:t xml:space="preserve"> 43 da Lei nº 4.320</w:t>
      </w:r>
      <w:r>
        <w:rPr>
          <w:rFonts w:cs="Arial"/>
          <w:color w:val="000000"/>
        </w:rPr>
        <w:t xml:space="preserve">, de </w:t>
      </w:r>
      <w:r w:rsidR="003B6A75" w:rsidRPr="003B6A75">
        <w:rPr>
          <w:rFonts w:cs="Arial"/>
          <w:color w:val="000000"/>
        </w:rPr>
        <w:t>1964.</w:t>
      </w:r>
    </w:p>
    <w:p w14:paraId="47C4D118" w14:textId="77777777" w:rsidR="009B6CBA" w:rsidRDefault="009B6CBA" w:rsidP="003B6A75">
      <w:pPr>
        <w:pStyle w:val="PL-Corpo"/>
        <w:rPr>
          <w:rFonts w:cs="Arial"/>
          <w:color w:val="000000"/>
        </w:rPr>
      </w:pPr>
    </w:p>
    <w:p w14:paraId="61606360" w14:textId="77AEC4B0"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44. O Poder Executivo poderá encaminhar mensagem ao Poder Legislativo para propor modificações no Projeto de Lei Orçamentária de 2025 enquanto não iniciada a sua votação, no tocante as partes cuja alteração é proposta.</w:t>
      </w:r>
    </w:p>
    <w:p w14:paraId="0FE9C062" w14:textId="77777777" w:rsidR="009B6CBA" w:rsidRDefault="009B6CBA" w:rsidP="003B6A75">
      <w:pPr>
        <w:pStyle w:val="PL-Corpo"/>
        <w:rPr>
          <w:rFonts w:cs="Arial"/>
          <w:color w:val="000000"/>
        </w:rPr>
      </w:pPr>
    </w:p>
    <w:p w14:paraId="49D13A4F" w14:textId="561666C6" w:rsidR="003B6A75" w:rsidRPr="003B6A75" w:rsidRDefault="009B6CBA"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Art. 45. Se o Projeto de Lei Orçamentária de 2025 não for sancionado pelo Prefeito até 31 de dezembro de 2024, a programação dele constante poderá ser executada para o atendimento das seguintes despesas:</w:t>
      </w:r>
    </w:p>
    <w:p w14:paraId="7AB6B9C5" w14:textId="04A1CB19"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I – Pessoal e Encargos Sociais;</w:t>
      </w:r>
    </w:p>
    <w:p w14:paraId="4F01A8EF" w14:textId="6DA9B8B4"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II – Benefícios Previdenciários;</w:t>
      </w:r>
    </w:p>
    <w:p w14:paraId="0DBAC819" w14:textId="077083E1"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III – </w:t>
      </w:r>
      <w:r>
        <w:rPr>
          <w:rFonts w:cs="Arial"/>
          <w:color w:val="000000"/>
        </w:rPr>
        <w:t>a</w:t>
      </w:r>
      <w:r w:rsidR="003B6A75" w:rsidRPr="003B6A75">
        <w:rPr>
          <w:rFonts w:cs="Arial"/>
          <w:color w:val="000000"/>
        </w:rPr>
        <w:t>mortização, juros e encargos da dívida;</w:t>
      </w:r>
    </w:p>
    <w:p w14:paraId="519B1071" w14:textId="023B3CAB"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IV – PASEP;</w:t>
      </w:r>
    </w:p>
    <w:p w14:paraId="44D2A315" w14:textId="4CB40684"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 – </w:t>
      </w:r>
      <w:r>
        <w:rPr>
          <w:rFonts w:cs="Arial"/>
          <w:color w:val="000000"/>
        </w:rPr>
        <w:t>d</w:t>
      </w:r>
      <w:r w:rsidR="003B6A75" w:rsidRPr="003B6A75">
        <w:rPr>
          <w:rFonts w:cs="Arial"/>
          <w:color w:val="000000"/>
        </w:rPr>
        <w:t xml:space="preserve">emais despesas que constituem obrigações constitucionais ou legais do Município; </w:t>
      </w:r>
    </w:p>
    <w:p w14:paraId="5FC722E9" w14:textId="2CD42DD0"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VI – </w:t>
      </w:r>
      <w:r>
        <w:rPr>
          <w:rFonts w:cs="Arial"/>
          <w:color w:val="000000"/>
        </w:rPr>
        <w:t>o</w:t>
      </w:r>
      <w:r w:rsidR="003B6A75" w:rsidRPr="003B6A75">
        <w:rPr>
          <w:rFonts w:cs="Arial"/>
          <w:color w:val="000000"/>
        </w:rPr>
        <w:t>utras despesas correntes de caráter inadiável.</w:t>
      </w:r>
    </w:p>
    <w:p w14:paraId="75932D04" w14:textId="0CDBC724"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1º. As despesas descritas no inciso VI deste artigo estão limitadas a 1/12 (um doze avos) do total de cada ação prevista no Projeto de Lei Orçamentária de 2025, multiplicado pelo número de meses decorridos até a sanção da respectiva Lei.</w:t>
      </w:r>
    </w:p>
    <w:p w14:paraId="2A32F3A2" w14:textId="724FF2EC"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w:t>
      </w:r>
      <w:r>
        <w:rPr>
          <w:rFonts w:cs="Arial"/>
          <w:color w:val="000000"/>
        </w:rPr>
        <w:t xml:space="preserve"> </w:t>
      </w:r>
      <w:r w:rsidR="003B6A75" w:rsidRPr="003B6A75">
        <w:rPr>
          <w:rFonts w:cs="Arial"/>
          <w:color w:val="000000"/>
        </w:rPr>
        <w:t xml:space="preserve">2º. Na execução de outras despesas correntes de caráter inadiável, a que se refere o inciso VI do </w:t>
      </w:r>
      <w:r w:rsidR="003B6A75" w:rsidRPr="001171B7">
        <w:rPr>
          <w:rFonts w:cs="Arial"/>
          <w:i/>
          <w:iCs/>
          <w:color w:val="000000"/>
        </w:rPr>
        <w:t>caput</w:t>
      </w:r>
      <w:r w:rsidR="003B6A75" w:rsidRPr="003B6A75">
        <w:rPr>
          <w:rFonts w:cs="Arial"/>
          <w:color w:val="000000"/>
        </w:rPr>
        <w:t>, o ordenador de despesa poderá considerar os valores constantes do Projeto de Lei Orçamentária de 2025 para fins do cumprimento do disposto no art. 16 da Lei complementar nº 101</w:t>
      </w:r>
      <w:r>
        <w:rPr>
          <w:rFonts w:cs="Arial"/>
          <w:color w:val="000000"/>
        </w:rPr>
        <w:t xml:space="preserve">, de </w:t>
      </w:r>
      <w:r w:rsidR="003B6A75" w:rsidRPr="003B6A75">
        <w:rPr>
          <w:rFonts w:cs="Arial"/>
          <w:color w:val="000000"/>
        </w:rPr>
        <w:t>2000.</w:t>
      </w:r>
    </w:p>
    <w:p w14:paraId="72CE331E" w14:textId="77777777" w:rsidR="00501E37" w:rsidRDefault="00501E37" w:rsidP="003B6A75">
      <w:pPr>
        <w:pStyle w:val="PL-Corpo"/>
        <w:rPr>
          <w:rFonts w:cs="Arial"/>
          <w:color w:val="000000"/>
        </w:rPr>
      </w:pPr>
    </w:p>
    <w:p w14:paraId="7FB94705" w14:textId="1F5740EC"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 xml:space="preserve">Art. 46. Em atendimento ao disposto no </w:t>
      </w:r>
      <w:r>
        <w:rPr>
          <w:rFonts w:cs="Arial"/>
          <w:color w:val="000000"/>
        </w:rPr>
        <w:t>a</w:t>
      </w:r>
      <w:r w:rsidR="003B6A75" w:rsidRPr="003B6A75">
        <w:rPr>
          <w:rFonts w:cs="Arial"/>
          <w:color w:val="000000"/>
        </w:rPr>
        <w:t>rt. 4º, nos §§</w:t>
      </w:r>
      <w:r>
        <w:rPr>
          <w:rFonts w:cs="Arial"/>
          <w:color w:val="000000"/>
        </w:rPr>
        <w:t xml:space="preserve"> </w:t>
      </w:r>
      <w:r w:rsidR="003B6A75" w:rsidRPr="003B6A75">
        <w:rPr>
          <w:rFonts w:cs="Arial"/>
          <w:color w:val="000000"/>
        </w:rPr>
        <w:t>1º, 2º e 3º da Lei Complementar nº 101</w:t>
      </w:r>
      <w:r>
        <w:rPr>
          <w:rFonts w:cs="Arial"/>
          <w:color w:val="000000"/>
        </w:rPr>
        <w:t xml:space="preserve">, de </w:t>
      </w:r>
      <w:r w:rsidR="003B6A75" w:rsidRPr="003B6A75">
        <w:rPr>
          <w:rFonts w:cs="Arial"/>
          <w:color w:val="000000"/>
        </w:rPr>
        <w:t>2000, integram a presente Lei os seguintes anexos:</w:t>
      </w:r>
    </w:p>
    <w:p w14:paraId="01E67B5D" w14:textId="659881DB"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I – Anexo de Metas Fiscais;</w:t>
      </w:r>
    </w:p>
    <w:p w14:paraId="02174BAC" w14:textId="5D2681B1"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II – Anexo de Riscos Fiscais;</w:t>
      </w:r>
    </w:p>
    <w:p w14:paraId="52BEB165" w14:textId="20D61737" w:rsidR="003B6A75" w:rsidRPr="003B6A75" w:rsidRDefault="00501E37" w:rsidP="003B6A75">
      <w:pPr>
        <w:pStyle w:val="PL-Corpo"/>
        <w:rPr>
          <w:rFonts w:cs="Arial"/>
          <w:color w:val="000000"/>
        </w:rPr>
      </w:pPr>
      <w:r>
        <w:rPr>
          <w:rFonts w:cs="Arial"/>
          <w:color w:val="000000"/>
        </w:rPr>
        <w:t xml:space="preserve"> </w:t>
      </w:r>
      <w:r>
        <w:rPr>
          <w:rFonts w:cs="Arial"/>
          <w:color w:val="000000"/>
        </w:rPr>
        <w:tab/>
      </w:r>
      <w:r w:rsidR="003B6A75" w:rsidRPr="003B6A75">
        <w:rPr>
          <w:rFonts w:cs="Arial"/>
          <w:color w:val="000000"/>
        </w:rPr>
        <w:t>III – Anexo de Metas e Prioridades da Administração Municipal;</w:t>
      </w:r>
    </w:p>
    <w:p w14:paraId="12BD3AB0" w14:textId="77777777" w:rsidR="00501E37" w:rsidRDefault="00501E37" w:rsidP="003B6A75">
      <w:pPr>
        <w:pStyle w:val="PL-Corpo"/>
        <w:rPr>
          <w:rFonts w:cs="Arial"/>
          <w:color w:val="000000"/>
        </w:rPr>
      </w:pPr>
    </w:p>
    <w:p w14:paraId="5B359C7E" w14:textId="78D23F28" w:rsidR="00DD7AF3" w:rsidRPr="003B6A75" w:rsidRDefault="00501E37" w:rsidP="003B6A75">
      <w:pPr>
        <w:pStyle w:val="PL-Corpo"/>
      </w:pPr>
      <w:r>
        <w:rPr>
          <w:rFonts w:cs="Arial"/>
          <w:color w:val="000000"/>
        </w:rPr>
        <w:t xml:space="preserve"> </w:t>
      </w:r>
      <w:r>
        <w:rPr>
          <w:rFonts w:cs="Arial"/>
          <w:color w:val="000000"/>
        </w:rPr>
        <w:tab/>
      </w:r>
      <w:r w:rsidR="003B6A75" w:rsidRPr="003B6A75">
        <w:rPr>
          <w:rFonts w:cs="Arial"/>
          <w:color w:val="000000"/>
        </w:rPr>
        <w:t>Art. 47. Esta Lei entra em vigor na data de sua publicação</w:t>
      </w:r>
    </w:p>
    <w:p w14:paraId="55EFEDE6" w14:textId="77777777" w:rsidR="00501E37" w:rsidRDefault="00501E37" w:rsidP="003B6A75">
      <w:pPr>
        <w:pStyle w:val="PL-Corpo"/>
      </w:pPr>
    </w:p>
    <w:p w14:paraId="0B183065" w14:textId="34CDCAF5" w:rsidR="006B533C" w:rsidRPr="003B6A75" w:rsidRDefault="005E008F" w:rsidP="003B6A75">
      <w:pPr>
        <w:pStyle w:val="PL-Corpo"/>
      </w:pPr>
      <w:r w:rsidRPr="003B6A75">
        <w:t xml:space="preserve"> </w:t>
      </w:r>
      <w:r w:rsidRPr="003B6A75">
        <w:tab/>
        <w:t xml:space="preserve">Ibitiúra de Minas, </w:t>
      </w:r>
      <w:r w:rsidR="00B04447" w:rsidRPr="003B6A75">
        <w:t>2</w:t>
      </w:r>
      <w:r w:rsidR="003B6A75" w:rsidRPr="003B6A75">
        <w:t>7</w:t>
      </w:r>
      <w:r w:rsidRPr="003B6A75">
        <w:t xml:space="preserve"> de junho de 2024.</w:t>
      </w:r>
    </w:p>
    <w:p w14:paraId="783F0755" w14:textId="77777777" w:rsidR="006B533C" w:rsidRPr="003B6A75" w:rsidRDefault="006B533C" w:rsidP="003B6A75">
      <w:pPr>
        <w:pStyle w:val="PL-Corpo"/>
        <w:rPr>
          <w:sz w:val="38"/>
          <w:szCs w:val="38"/>
        </w:rPr>
      </w:pPr>
    </w:p>
    <w:p w14:paraId="6E7E5233" w14:textId="77777777" w:rsidR="006B533C" w:rsidRPr="003B6A75" w:rsidRDefault="006B533C" w:rsidP="003B6A75">
      <w:pPr>
        <w:pStyle w:val="PL-Corpo"/>
      </w:pPr>
    </w:p>
    <w:p w14:paraId="200A4B3D" w14:textId="77777777" w:rsidR="005E008F" w:rsidRPr="003B6A75" w:rsidRDefault="005E008F" w:rsidP="00501E37">
      <w:pPr>
        <w:pStyle w:val="PL-Corpo"/>
        <w:jc w:val="center"/>
      </w:pPr>
    </w:p>
    <w:p w14:paraId="54B1DB4B" w14:textId="77777777" w:rsidR="00C8586D" w:rsidRPr="003B6A75" w:rsidRDefault="00C8586D" w:rsidP="00501E37">
      <w:pPr>
        <w:pStyle w:val="PL-Corpo"/>
        <w:jc w:val="center"/>
        <w:rPr>
          <w:iCs/>
        </w:rPr>
      </w:pPr>
      <w:r w:rsidRPr="003B6A75">
        <w:rPr>
          <w:iCs/>
        </w:rPr>
        <w:t>ALEXANDRE DE CÁSSIO BORGES</w:t>
      </w:r>
    </w:p>
    <w:p w14:paraId="4A026B5A" w14:textId="7FBBA87F" w:rsidR="002F09D5" w:rsidRPr="003B6A75" w:rsidRDefault="00C8586D" w:rsidP="00501E37">
      <w:pPr>
        <w:pStyle w:val="PL-Corpo"/>
        <w:jc w:val="center"/>
      </w:pPr>
      <w:r w:rsidRPr="003B6A75">
        <w:rPr>
          <w:iCs/>
        </w:rPr>
        <w:t>Prefeito Municipal</w:t>
      </w:r>
    </w:p>
    <w:sectPr w:rsidR="002F09D5" w:rsidRPr="003B6A75" w:rsidSect="005E008F">
      <w:headerReference w:type="default" r:id="rId7"/>
      <w:footerReference w:type="default" r:id="rId8"/>
      <w:pgSz w:w="11906" w:h="16838"/>
      <w:pgMar w:top="1701" w:right="1133" w:bottom="1497" w:left="1701" w:header="426" w:footer="4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B9C96" w14:textId="77777777" w:rsidR="00D866C5" w:rsidRDefault="00D866C5" w:rsidP="00EE2A1D">
      <w:r>
        <w:separator/>
      </w:r>
    </w:p>
  </w:endnote>
  <w:endnote w:type="continuationSeparator" w:id="0">
    <w:p w14:paraId="22B20E18" w14:textId="77777777" w:rsidR="00D866C5" w:rsidRDefault="00D866C5" w:rsidP="00EE2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Rounded MT Bold">
    <w:panose1 w:val="020F0704030504030204"/>
    <w:charset w:val="4D"/>
    <w:family w:val="swiss"/>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348E3" w14:textId="2B6C7399" w:rsidR="00EE2A1D" w:rsidRPr="00811ABF" w:rsidRDefault="00811ABF" w:rsidP="006242B2">
    <w:pPr>
      <w:pStyle w:val="Rodap"/>
      <w:tabs>
        <w:tab w:val="clear" w:pos="8504"/>
        <w:tab w:val="left" w:pos="1276"/>
        <w:tab w:val="right" w:pos="9356"/>
      </w:tabs>
      <w:jc w:val="center"/>
      <w:rPr>
        <w:rFonts w:ascii="Arial Narrow" w:hAnsi="Arial Narrow"/>
        <w:sz w:val="22"/>
        <w:szCs w:val="20"/>
      </w:rPr>
    </w:pPr>
    <w:r w:rsidRPr="00811ABF">
      <w:rPr>
        <w:rFonts w:ascii="Arial Narrow" w:hAnsi="Arial Narrow"/>
        <w:noProof/>
        <w:sz w:val="22"/>
        <w:szCs w:val="20"/>
      </w:rPr>
      <mc:AlternateContent>
        <mc:Choice Requires="wps">
          <w:drawing>
            <wp:anchor distT="0" distB="0" distL="114300" distR="114300" simplePos="0" relativeHeight="251659264" behindDoc="0" locked="0" layoutInCell="1" allowOverlap="1" wp14:anchorId="7F833D17" wp14:editId="30DDBACB">
              <wp:simplePos x="0" y="0"/>
              <wp:positionH relativeFrom="page">
                <wp:align>left</wp:align>
              </wp:positionH>
              <wp:positionV relativeFrom="paragraph">
                <wp:posOffset>-163243</wp:posOffset>
              </wp:positionV>
              <wp:extent cx="7493330" cy="0"/>
              <wp:effectExtent l="0" t="0" r="0" b="0"/>
              <wp:wrapNone/>
              <wp:docPr id="44" name="Conector reto 44"/>
              <wp:cNvGraphicFramePr/>
              <a:graphic xmlns:a="http://schemas.openxmlformats.org/drawingml/2006/main">
                <a:graphicData uri="http://schemas.microsoft.com/office/word/2010/wordprocessingShape">
                  <wps:wsp>
                    <wps:cNvCnPr/>
                    <wps:spPr>
                      <a:xfrm>
                        <a:off x="0" y="0"/>
                        <a:ext cx="7493330"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C95FCF" id="Conector reto 44" o:spid="_x0000_s1026" style="position:absolute;z-index:251659264;visibility:visible;mso-wrap-style:square;mso-wrap-distance-left:9pt;mso-wrap-distance-top:0;mso-wrap-distance-right:9pt;mso-wrap-distance-bottom:0;mso-position-horizontal:left;mso-position-horizontal-relative:page;mso-position-vertical:absolute;mso-position-vertical-relative:text" from="0,-12.85pt" to="590.0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" strokecolor="#0070c0" strokeweight=".5pt">
              <v:stroke joinstyle="miter"/>
              <w10:wrap anchorx="page"/>
            </v:line>
          </w:pict>
        </mc:Fallback>
      </mc:AlternateContent>
    </w:r>
    <w:r>
      <w:rPr>
        <w:rFonts w:ascii="Arial Narrow" w:hAnsi="Arial Narrow"/>
        <w:sz w:val="22"/>
        <w:szCs w:val="20"/>
      </w:rPr>
      <w:t>M</w:t>
    </w:r>
    <w:r w:rsidR="00EE2A1D" w:rsidRPr="00811ABF">
      <w:rPr>
        <w:rFonts w:ascii="Arial Narrow" w:hAnsi="Arial Narrow"/>
        <w:sz w:val="22"/>
        <w:szCs w:val="20"/>
      </w:rPr>
      <w:t xml:space="preserve">unicípio de </w:t>
    </w:r>
    <w:r w:rsidRPr="00811ABF">
      <w:rPr>
        <w:rFonts w:ascii="Arial Narrow" w:hAnsi="Arial Narrow"/>
        <w:sz w:val="22"/>
        <w:szCs w:val="20"/>
      </w:rPr>
      <w:t>Ibitiúra</w:t>
    </w:r>
    <w:r w:rsidR="00EE2A1D" w:rsidRPr="00811ABF">
      <w:rPr>
        <w:rFonts w:ascii="Arial Narrow" w:hAnsi="Arial Narrow"/>
        <w:sz w:val="22"/>
        <w:szCs w:val="20"/>
      </w:rPr>
      <w:t xml:space="preserve"> de Minas / MG</w:t>
    </w:r>
    <w:r>
      <w:rPr>
        <w:rFonts w:ascii="Arial Narrow" w:hAnsi="Arial Narrow"/>
        <w:sz w:val="22"/>
        <w:szCs w:val="20"/>
      </w:rPr>
      <w:t xml:space="preserve"> - </w:t>
    </w:r>
    <w:r w:rsidRPr="00811ABF">
      <w:rPr>
        <w:rFonts w:ascii="Arial Narrow" w:hAnsi="Arial Narrow"/>
        <w:sz w:val="22"/>
        <w:szCs w:val="20"/>
      </w:rPr>
      <w:t>CNPJ. 18.178.962/0001-09</w:t>
    </w:r>
  </w:p>
  <w:p w14:paraId="2E7FFF30" w14:textId="7EC78FBF" w:rsidR="00811ABF" w:rsidRPr="00811ABF" w:rsidRDefault="005463B5" w:rsidP="00330AB4">
    <w:pPr>
      <w:pStyle w:val="Rodap"/>
      <w:tabs>
        <w:tab w:val="clear" w:pos="8504"/>
        <w:tab w:val="left" w:pos="1276"/>
        <w:tab w:val="right" w:pos="9356"/>
      </w:tabs>
      <w:jc w:val="center"/>
      <w:rPr>
        <w:rFonts w:ascii="Arial Narrow" w:hAnsi="Arial Narrow"/>
        <w:sz w:val="22"/>
        <w:szCs w:val="20"/>
      </w:rPr>
    </w:pPr>
    <w:r>
      <w:rPr>
        <w:rFonts w:ascii="Arial Narrow" w:hAnsi="Arial Narrow"/>
        <w:sz w:val="22"/>
        <w:szCs w:val="20"/>
      </w:rPr>
      <w:t>Prefeito Abilio Pereira Caldas</w:t>
    </w:r>
    <w:r w:rsidR="00EE2A1D" w:rsidRPr="00811ABF">
      <w:rPr>
        <w:rFonts w:ascii="Arial Narrow" w:hAnsi="Arial Narrow"/>
        <w:sz w:val="22"/>
        <w:szCs w:val="20"/>
      </w:rPr>
      <w:t>, nº</w:t>
    </w:r>
    <w:r w:rsidR="00330AB4">
      <w:rPr>
        <w:rFonts w:ascii="Arial Narrow" w:hAnsi="Arial Narrow"/>
        <w:sz w:val="22"/>
        <w:szCs w:val="20"/>
      </w:rPr>
      <w:t xml:space="preserve"> </w:t>
    </w:r>
    <w:r>
      <w:rPr>
        <w:rFonts w:ascii="Arial Narrow" w:hAnsi="Arial Narrow"/>
        <w:sz w:val="22"/>
        <w:szCs w:val="20"/>
      </w:rPr>
      <w:t>235</w:t>
    </w:r>
    <w:r w:rsidR="00EE2A1D" w:rsidRPr="00811ABF">
      <w:rPr>
        <w:rFonts w:ascii="Arial Narrow" w:hAnsi="Arial Narrow"/>
        <w:sz w:val="22"/>
        <w:szCs w:val="20"/>
      </w:rPr>
      <w:t xml:space="preserve"> </w:t>
    </w:r>
    <w:r w:rsidR="00811ABF" w:rsidRPr="00811ABF">
      <w:rPr>
        <w:rFonts w:ascii="Arial Narrow" w:hAnsi="Arial Narrow"/>
        <w:sz w:val="22"/>
        <w:szCs w:val="20"/>
      </w:rPr>
      <w:t>- CEP. 37790-000 - Centro – Ibitiúra de Minas / MG</w:t>
    </w:r>
  </w:p>
  <w:p w14:paraId="7F6D9C4A" w14:textId="2A0CDCB0" w:rsidR="00811ABF" w:rsidRPr="00811ABF" w:rsidRDefault="00811ABF" w:rsidP="006242B2">
    <w:pPr>
      <w:pStyle w:val="Rodap"/>
      <w:tabs>
        <w:tab w:val="clear" w:pos="8504"/>
        <w:tab w:val="left" w:pos="1276"/>
        <w:tab w:val="right" w:pos="9356"/>
      </w:tabs>
      <w:jc w:val="center"/>
      <w:rPr>
        <w:rFonts w:ascii="Arial Narrow" w:hAnsi="Arial Narrow"/>
        <w:sz w:val="22"/>
        <w:szCs w:val="20"/>
      </w:rPr>
    </w:pPr>
    <w:r>
      <w:rPr>
        <w:rFonts w:ascii="Arial Narrow" w:hAnsi="Arial Narrow"/>
        <w:sz w:val="22"/>
        <w:szCs w:val="20"/>
      </w:rPr>
      <w:t xml:space="preserve">Site: </w:t>
    </w:r>
    <w:r w:rsidRPr="00811ABF">
      <w:rPr>
        <w:rFonts w:ascii="Arial Narrow" w:hAnsi="Arial Narrow"/>
        <w:sz w:val="22"/>
        <w:szCs w:val="20"/>
      </w:rPr>
      <w:t xml:space="preserve">www.ibitiurademinas.mg.gov.br </w:t>
    </w:r>
    <w:r>
      <w:rPr>
        <w:rFonts w:ascii="Arial Narrow" w:hAnsi="Arial Narrow"/>
        <w:sz w:val="22"/>
        <w:szCs w:val="20"/>
      </w:rPr>
      <w:t>/ e</w:t>
    </w:r>
    <w:r w:rsidRPr="00811ABF">
      <w:rPr>
        <w:rFonts w:ascii="Arial Narrow" w:hAnsi="Arial Narrow"/>
        <w:sz w:val="22"/>
        <w:szCs w:val="20"/>
      </w:rPr>
      <w:t>-mail:</w:t>
    </w:r>
    <w:r w:rsidR="00C34BF3">
      <w:rPr>
        <w:rFonts w:ascii="Arial Narrow" w:hAnsi="Arial Narrow"/>
        <w:sz w:val="22"/>
        <w:szCs w:val="20"/>
      </w:rPr>
      <w:t xml:space="preserve"> prefeito</w:t>
    </w:r>
    <w:r w:rsidRPr="00811ABF">
      <w:rPr>
        <w:rFonts w:ascii="Arial Narrow" w:hAnsi="Arial Narrow"/>
        <w:sz w:val="22"/>
        <w:szCs w:val="20"/>
      </w:rPr>
      <w:t>@ibitiurademinas.mg.gov.br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08E96" w14:textId="77777777" w:rsidR="00D866C5" w:rsidRDefault="00D866C5" w:rsidP="00EE2A1D">
      <w:r>
        <w:separator/>
      </w:r>
    </w:p>
  </w:footnote>
  <w:footnote w:type="continuationSeparator" w:id="0">
    <w:p w14:paraId="2B108E8A" w14:textId="77777777" w:rsidR="00D866C5" w:rsidRDefault="00D866C5" w:rsidP="00EE2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A0419" w14:textId="09674157" w:rsidR="0021659A" w:rsidRPr="00BB3919" w:rsidRDefault="00AE3233" w:rsidP="00692C01">
    <w:pPr>
      <w:pStyle w:val="Cabealho"/>
      <w:jc w:val="center"/>
      <w:rPr>
        <w:b/>
        <w:bCs/>
        <w:i/>
        <w:iCs/>
        <w:noProof/>
        <w:sz w:val="32"/>
        <w:szCs w:val="28"/>
      </w:rPr>
    </w:pPr>
    <w:r>
      <w:rPr>
        <w:b/>
        <w:bCs/>
        <w:i/>
        <w:iCs/>
        <w:noProof/>
        <w:sz w:val="32"/>
        <w:szCs w:val="28"/>
      </w:rPr>
      <w:drawing>
        <wp:anchor distT="0" distB="0" distL="114300" distR="114300" simplePos="0" relativeHeight="251664384" behindDoc="1" locked="0" layoutInCell="1" allowOverlap="1" wp14:anchorId="0DBF5B80" wp14:editId="19ACF79E">
          <wp:simplePos x="0" y="0"/>
          <wp:positionH relativeFrom="page">
            <wp:align>center</wp:align>
          </wp:positionH>
          <wp:positionV relativeFrom="paragraph">
            <wp:posOffset>10644</wp:posOffset>
          </wp:positionV>
          <wp:extent cx="1644555" cy="597104"/>
          <wp:effectExtent l="0" t="0" r="0" b="0"/>
          <wp:wrapNone/>
          <wp:docPr id="28125976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9720" t="21564" r="10655" b="49526"/>
                  <a:stretch/>
                </pic:blipFill>
                <pic:spPr bwMode="auto">
                  <a:xfrm>
                    <a:off x="0" y="0"/>
                    <a:ext cx="1644555" cy="59710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93972" w14:textId="172138E0" w:rsidR="0021659A" w:rsidRDefault="0021659A" w:rsidP="00692C01">
    <w:pPr>
      <w:pStyle w:val="Cabealho"/>
      <w:jc w:val="center"/>
      <w:rPr>
        <w:b/>
        <w:bCs/>
        <w:i/>
        <w:iCs/>
        <w:noProof/>
        <w:sz w:val="32"/>
        <w:szCs w:val="28"/>
      </w:rPr>
    </w:pPr>
  </w:p>
  <w:p w14:paraId="1FBE20B3" w14:textId="77777777" w:rsidR="00BB3919" w:rsidRDefault="00BB3919" w:rsidP="0021659A">
    <w:pPr>
      <w:pStyle w:val="Cabealho"/>
      <w:jc w:val="right"/>
      <w:rPr>
        <w:noProof/>
        <w:sz w:val="14"/>
        <w:szCs w:val="12"/>
      </w:rPr>
    </w:pPr>
  </w:p>
  <w:p w14:paraId="14BCC922" w14:textId="45912DC3" w:rsidR="00EE2A1D" w:rsidRPr="005C299F" w:rsidRDefault="00BB3919" w:rsidP="0021659A">
    <w:pPr>
      <w:pStyle w:val="Cabealho"/>
      <w:jc w:val="right"/>
      <w:rPr>
        <w:i/>
        <w:iCs/>
      </w:rPr>
    </w:pPr>
    <w:r w:rsidRPr="00811ABF">
      <w:rPr>
        <w:rFonts w:ascii="Arial Narrow" w:hAnsi="Arial Narrow"/>
        <w:noProof/>
        <w:sz w:val="22"/>
        <w:szCs w:val="20"/>
      </w:rPr>
      <mc:AlternateContent>
        <mc:Choice Requires="wps">
          <w:drawing>
            <wp:anchor distT="0" distB="0" distL="114300" distR="114300" simplePos="0" relativeHeight="251663360" behindDoc="0" locked="0" layoutInCell="1" allowOverlap="1" wp14:anchorId="5B51CA7F" wp14:editId="72763B8C">
              <wp:simplePos x="0" y="0"/>
              <wp:positionH relativeFrom="page">
                <wp:align>right</wp:align>
              </wp:positionH>
              <wp:positionV relativeFrom="paragraph">
                <wp:posOffset>163004</wp:posOffset>
              </wp:positionV>
              <wp:extent cx="7704161" cy="68239"/>
              <wp:effectExtent l="0" t="0" r="30480" b="27305"/>
              <wp:wrapNone/>
              <wp:docPr id="264" name="Conector reto 264"/>
              <wp:cNvGraphicFramePr/>
              <a:graphic xmlns:a="http://schemas.openxmlformats.org/drawingml/2006/main">
                <a:graphicData uri="http://schemas.microsoft.com/office/word/2010/wordprocessingShape">
                  <wps:wsp>
                    <wps:cNvCnPr/>
                    <wps:spPr>
                      <a:xfrm>
                        <a:off x="0" y="0"/>
                        <a:ext cx="7704161" cy="68239"/>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09184" id="Conector reto 264" o:spid="_x0000_s1026" style="position:absolute;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from="555.45pt,12.85pt" to="1162.1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" strokecolor="#0070c0" strokeweight=".5pt">
              <v:stroke joinstyle="miter"/>
              <w10:wrap anchorx="page"/>
            </v:line>
          </w:pict>
        </mc:Fallback>
      </mc:AlternateContent>
    </w:r>
    <w:r w:rsidR="005D4650">
      <w:rPr>
        <w:noProof/>
        <w:sz w:val="14"/>
        <w:szCs w:val="12"/>
      </w:rPr>
      <w:t xml:space="preserve">                </w:t>
    </w:r>
    <w:r w:rsidR="005D2529">
      <w:rPr>
        <w:noProof/>
        <w:sz w:val="14"/>
        <w:szCs w:val="12"/>
      </w:rPr>
      <w:t>Folha</w:t>
    </w:r>
    <w:r w:rsidR="0021659A" w:rsidRPr="0021659A">
      <w:rPr>
        <w:noProof/>
        <w:sz w:val="14"/>
        <w:szCs w:val="12"/>
      </w:rPr>
      <w:t xml:space="preserve"> </w:t>
    </w:r>
    <w:r w:rsidR="0021659A" w:rsidRPr="0021659A">
      <w:rPr>
        <w:noProof/>
        <w:sz w:val="14"/>
        <w:szCs w:val="12"/>
      </w:rPr>
      <w:fldChar w:fldCharType="begin"/>
    </w:r>
    <w:r w:rsidR="0021659A" w:rsidRPr="0021659A">
      <w:rPr>
        <w:noProof/>
        <w:sz w:val="14"/>
        <w:szCs w:val="12"/>
      </w:rPr>
      <w:instrText>PAGE  \* Arabic  \* MERGEFORMAT</w:instrText>
    </w:r>
    <w:r w:rsidR="0021659A" w:rsidRPr="0021659A">
      <w:rPr>
        <w:noProof/>
        <w:sz w:val="14"/>
        <w:szCs w:val="12"/>
      </w:rPr>
      <w:fldChar w:fldCharType="separate"/>
    </w:r>
    <w:r w:rsidR="0021659A" w:rsidRPr="0021659A">
      <w:rPr>
        <w:noProof/>
        <w:sz w:val="14"/>
        <w:szCs w:val="12"/>
      </w:rPr>
      <w:t>1</w:t>
    </w:r>
    <w:r w:rsidR="0021659A" w:rsidRPr="0021659A">
      <w:rPr>
        <w:noProof/>
        <w:sz w:val="14"/>
        <w:szCs w:val="12"/>
      </w:rPr>
      <w:fldChar w:fldCharType="end"/>
    </w:r>
    <w:r w:rsidR="0021659A" w:rsidRPr="0021659A">
      <w:rPr>
        <w:noProof/>
        <w:sz w:val="14"/>
        <w:szCs w:val="12"/>
      </w:rPr>
      <w:t xml:space="preserve"> de </w:t>
    </w:r>
    <w:r w:rsidR="0021659A" w:rsidRPr="0021659A">
      <w:rPr>
        <w:noProof/>
        <w:sz w:val="14"/>
        <w:szCs w:val="12"/>
      </w:rPr>
      <w:fldChar w:fldCharType="begin"/>
    </w:r>
    <w:r w:rsidR="0021659A" w:rsidRPr="0021659A">
      <w:rPr>
        <w:noProof/>
        <w:sz w:val="14"/>
        <w:szCs w:val="12"/>
      </w:rPr>
      <w:instrText>NUMPAGES  \* Arabic  \* MERGEFORMAT</w:instrText>
    </w:r>
    <w:r w:rsidR="0021659A" w:rsidRPr="0021659A">
      <w:rPr>
        <w:noProof/>
        <w:sz w:val="14"/>
        <w:szCs w:val="12"/>
      </w:rPr>
      <w:fldChar w:fldCharType="separate"/>
    </w:r>
    <w:r w:rsidR="0021659A" w:rsidRPr="0021659A">
      <w:rPr>
        <w:noProof/>
        <w:sz w:val="14"/>
        <w:szCs w:val="12"/>
      </w:rPr>
      <w:t>2</w:t>
    </w:r>
    <w:r w:rsidR="0021659A" w:rsidRPr="0021659A">
      <w:rPr>
        <w:noProof/>
        <w:sz w:val="14"/>
        <w:szCs w:val="1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854E1"/>
    <w:multiLevelType w:val="hybridMultilevel"/>
    <w:tmpl w:val="4176996E"/>
    <w:lvl w:ilvl="0" w:tplc="0416000D">
      <w:start w:val="1"/>
      <w:numFmt w:val="bullet"/>
      <w:lvlText w:val=""/>
      <w:lvlJc w:val="left"/>
      <w:pPr>
        <w:ind w:left="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E08561B"/>
    <w:multiLevelType w:val="hybridMultilevel"/>
    <w:tmpl w:val="9C529B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71540330">
    <w:abstractNumId w:val="0"/>
  </w:num>
  <w:num w:numId="2" w16cid:durableId="301229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A1D"/>
    <w:rsid w:val="000027DE"/>
    <w:rsid w:val="00010DF4"/>
    <w:rsid w:val="00052FA7"/>
    <w:rsid w:val="000A2AE2"/>
    <w:rsid w:val="000F1F75"/>
    <w:rsid w:val="000F2C48"/>
    <w:rsid w:val="001171B7"/>
    <w:rsid w:val="00117267"/>
    <w:rsid w:val="00117B7E"/>
    <w:rsid w:val="001511CE"/>
    <w:rsid w:val="001572CC"/>
    <w:rsid w:val="00164ABF"/>
    <w:rsid w:val="00165FC1"/>
    <w:rsid w:val="0018399B"/>
    <w:rsid w:val="00183FDD"/>
    <w:rsid w:val="001B161D"/>
    <w:rsid w:val="001E68ED"/>
    <w:rsid w:val="001F64DE"/>
    <w:rsid w:val="002140EB"/>
    <w:rsid w:val="0021659A"/>
    <w:rsid w:val="00251603"/>
    <w:rsid w:val="00276949"/>
    <w:rsid w:val="00285DF2"/>
    <w:rsid w:val="00292873"/>
    <w:rsid w:val="002B7A85"/>
    <w:rsid w:val="002F09D5"/>
    <w:rsid w:val="00330AB4"/>
    <w:rsid w:val="003317FB"/>
    <w:rsid w:val="003678B2"/>
    <w:rsid w:val="003817D2"/>
    <w:rsid w:val="0039363F"/>
    <w:rsid w:val="003B6A75"/>
    <w:rsid w:val="003E160E"/>
    <w:rsid w:val="00407A90"/>
    <w:rsid w:val="00414B8A"/>
    <w:rsid w:val="00424A87"/>
    <w:rsid w:val="00437A15"/>
    <w:rsid w:val="004667BE"/>
    <w:rsid w:val="004A20CE"/>
    <w:rsid w:val="004B016E"/>
    <w:rsid w:val="004B1C35"/>
    <w:rsid w:val="004C5A6C"/>
    <w:rsid w:val="00501E37"/>
    <w:rsid w:val="00514A94"/>
    <w:rsid w:val="005443BB"/>
    <w:rsid w:val="005463B5"/>
    <w:rsid w:val="00573538"/>
    <w:rsid w:val="005945EF"/>
    <w:rsid w:val="0059542A"/>
    <w:rsid w:val="005C299F"/>
    <w:rsid w:val="005D2529"/>
    <w:rsid w:val="005D4650"/>
    <w:rsid w:val="005E008F"/>
    <w:rsid w:val="00615183"/>
    <w:rsid w:val="006242B2"/>
    <w:rsid w:val="006742AB"/>
    <w:rsid w:val="006921D2"/>
    <w:rsid w:val="006925FA"/>
    <w:rsid w:val="00692C01"/>
    <w:rsid w:val="00695B2A"/>
    <w:rsid w:val="006A7F84"/>
    <w:rsid w:val="006B533C"/>
    <w:rsid w:val="006D3CF5"/>
    <w:rsid w:val="006E2DE0"/>
    <w:rsid w:val="00762D64"/>
    <w:rsid w:val="007848CE"/>
    <w:rsid w:val="007B1C73"/>
    <w:rsid w:val="0081035A"/>
    <w:rsid w:val="00811ABF"/>
    <w:rsid w:val="00841056"/>
    <w:rsid w:val="00860EEA"/>
    <w:rsid w:val="008767FD"/>
    <w:rsid w:val="008928B3"/>
    <w:rsid w:val="00895891"/>
    <w:rsid w:val="008A3750"/>
    <w:rsid w:val="008C282D"/>
    <w:rsid w:val="008F4950"/>
    <w:rsid w:val="00917224"/>
    <w:rsid w:val="009263A8"/>
    <w:rsid w:val="00935B9E"/>
    <w:rsid w:val="00937748"/>
    <w:rsid w:val="00937FBA"/>
    <w:rsid w:val="009971DA"/>
    <w:rsid w:val="009B4546"/>
    <w:rsid w:val="009B6CBA"/>
    <w:rsid w:val="00A0750F"/>
    <w:rsid w:val="00A81BC0"/>
    <w:rsid w:val="00AB064A"/>
    <w:rsid w:val="00AC1FFB"/>
    <w:rsid w:val="00AC56E2"/>
    <w:rsid w:val="00AE0FF9"/>
    <w:rsid w:val="00AE3233"/>
    <w:rsid w:val="00B0440A"/>
    <w:rsid w:val="00B04447"/>
    <w:rsid w:val="00B17C0F"/>
    <w:rsid w:val="00B20099"/>
    <w:rsid w:val="00BB3919"/>
    <w:rsid w:val="00BD07FA"/>
    <w:rsid w:val="00BE50F3"/>
    <w:rsid w:val="00C34BF3"/>
    <w:rsid w:val="00C8586D"/>
    <w:rsid w:val="00C90751"/>
    <w:rsid w:val="00C9751C"/>
    <w:rsid w:val="00CF7D59"/>
    <w:rsid w:val="00D00D9E"/>
    <w:rsid w:val="00D0740E"/>
    <w:rsid w:val="00D4567A"/>
    <w:rsid w:val="00D5065B"/>
    <w:rsid w:val="00D64144"/>
    <w:rsid w:val="00D8382C"/>
    <w:rsid w:val="00D866C5"/>
    <w:rsid w:val="00D874C7"/>
    <w:rsid w:val="00D944E9"/>
    <w:rsid w:val="00DA29F9"/>
    <w:rsid w:val="00DC472E"/>
    <w:rsid w:val="00DD4B1B"/>
    <w:rsid w:val="00DD76C8"/>
    <w:rsid w:val="00DD7AF3"/>
    <w:rsid w:val="00E11A20"/>
    <w:rsid w:val="00E66F94"/>
    <w:rsid w:val="00E70A83"/>
    <w:rsid w:val="00E826E6"/>
    <w:rsid w:val="00E96CBD"/>
    <w:rsid w:val="00EE2A1D"/>
    <w:rsid w:val="00F13928"/>
    <w:rsid w:val="00F20181"/>
    <w:rsid w:val="00F42E9A"/>
    <w:rsid w:val="00F761E8"/>
    <w:rsid w:val="00FC4D98"/>
    <w:rsid w:val="00FE72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A0BD4"/>
  <w15:chartTrackingRefBased/>
  <w15:docId w15:val="{382D4E38-0E75-4DD4-9812-C64027D1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529"/>
    <w:pPr>
      <w:pBdr>
        <w:top w:val="nil"/>
        <w:left w:val="nil"/>
        <w:bottom w:val="nil"/>
        <w:right w:val="nil"/>
        <w:between w:val="nil"/>
        <w:bar w:val="nil"/>
      </w:pBdr>
      <w:spacing w:after="0" w:line="240" w:lineRule="auto"/>
      <w:jc w:val="both"/>
    </w:pPr>
    <w:rPr>
      <w:rFonts w:ascii="Calibri" w:hAnsi="Calibri" w:cs="Arial Unicode MS"/>
      <w:szCs w:val="24"/>
      <w:u w:color="000000"/>
      <w:bdr w:val="nil"/>
      <w:lang w:eastAsia="pt-BR"/>
      <w14:textOutline w14:w="0" w14:cap="flat" w14:cmpd="sng" w14:algn="ctr">
        <w14:noFill/>
        <w14:prstDash w14:val="solid"/>
        <w14:bevel/>
      </w14:textOutline>
    </w:rPr>
  </w:style>
  <w:style w:type="paragraph" w:styleId="Ttulo1">
    <w:name w:val="heading 1"/>
    <w:basedOn w:val="Normal"/>
    <w:next w:val="Peticao"/>
    <w:link w:val="Ttulo1Char"/>
    <w:uiPriority w:val="9"/>
    <w:qFormat/>
    <w:rsid w:val="005D2529"/>
    <w:pPr>
      <w:keepNext/>
      <w:keepLines/>
      <w:outlineLvl w:val="0"/>
    </w:pPr>
    <w:rPr>
      <w:rFonts w:asciiTheme="majorHAnsi" w:eastAsiaTheme="majorEastAsia" w:hAnsiTheme="majorHAnsi" w:cstheme="majorBidi"/>
      <w:color w:val="2F5496" w:themeColor="accent1" w:themeShade="BF"/>
      <w:kern w:val="2"/>
      <w:sz w:val="32"/>
      <w:szCs w:val="28"/>
      <w:lang w:eastAsia="en-US"/>
      <w14:ligatures w14:val="standardContextual"/>
    </w:rPr>
  </w:style>
  <w:style w:type="paragraph" w:styleId="Ttulo2">
    <w:name w:val="heading 2"/>
    <w:basedOn w:val="Ttulo4"/>
    <w:next w:val="Normal"/>
    <w:link w:val="Ttulo2Char"/>
    <w:uiPriority w:val="9"/>
    <w:unhideWhenUsed/>
    <w:qFormat/>
    <w:rsid w:val="005D2529"/>
    <w:pPr>
      <w:keepNext w:val="0"/>
      <w:keepLines w:val="0"/>
      <w:autoSpaceDE w:val="0"/>
      <w:autoSpaceDN w:val="0"/>
      <w:adjustRightInd w:val="0"/>
      <w:outlineLvl w:val="1"/>
    </w:pPr>
    <w:rPr>
      <w:rFonts w:eastAsiaTheme="minorHAnsi" w:cstheme="majorHAnsi"/>
      <w:color w:val="073763"/>
      <w:sz w:val="22"/>
      <w:szCs w:val="22"/>
      <w:lang w:eastAsia="en-US"/>
    </w:rPr>
  </w:style>
  <w:style w:type="paragraph" w:styleId="Ttulo3">
    <w:name w:val="heading 3"/>
    <w:basedOn w:val="Normal"/>
    <w:next w:val="Normal"/>
    <w:link w:val="Ttulo3Char"/>
    <w:uiPriority w:val="9"/>
    <w:unhideWhenUsed/>
    <w:qFormat/>
    <w:rsid w:val="005D2529"/>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5D2529"/>
    <w:pPr>
      <w:keepNext/>
      <w:keepLines/>
      <w:spacing w:line="276" w:lineRule="auto"/>
      <w:outlineLvl w:val="3"/>
    </w:pPr>
    <w:rPr>
      <w:rFonts w:asciiTheme="majorHAnsi" w:eastAsiaTheme="majorEastAsia" w:hAnsiTheme="majorHAnsi" w:cstheme="majorBidi"/>
      <w:i/>
      <w:iCs/>
      <w:color w:val="2F5496" w:themeColor="accent1" w:themeShade="BF"/>
      <w:kern w:val="2"/>
      <w14:ligatures w14:val="standardContextual"/>
    </w:rPr>
  </w:style>
  <w:style w:type="paragraph" w:styleId="Ttulo5">
    <w:name w:val="heading 5"/>
    <w:basedOn w:val="Normal"/>
    <w:next w:val="Normal"/>
    <w:link w:val="Ttulo5Char"/>
    <w:uiPriority w:val="9"/>
    <w:unhideWhenUsed/>
    <w:qFormat/>
    <w:rsid w:val="005D2529"/>
    <w:pPr>
      <w:keepNext/>
      <w:keepLines/>
      <w:spacing w:line="276" w:lineRule="auto"/>
      <w:outlineLvl w:val="4"/>
    </w:pPr>
    <w:rPr>
      <w:rFonts w:asciiTheme="majorHAnsi" w:eastAsiaTheme="majorEastAsia" w:hAnsiTheme="majorHAnsi" w:cstheme="majorBidi"/>
      <w:color w:val="1F3864" w:themeColor="accent1" w:themeShade="80"/>
      <w:kern w:val="2"/>
      <w14:ligatures w14:val="standardContextual"/>
    </w:rPr>
  </w:style>
  <w:style w:type="paragraph" w:styleId="Ttulo6">
    <w:name w:val="heading 6"/>
    <w:basedOn w:val="Redoriglei"/>
    <w:next w:val="Normal"/>
    <w:link w:val="Ttulo6Char"/>
    <w:uiPriority w:val="9"/>
    <w:unhideWhenUsed/>
    <w:qFormat/>
    <w:rsid w:val="005D2529"/>
    <w:pPr>
      <w:ind w:left="720" w:right="0"/>
      <w:outlineLvl w:val="5"/>
    </w:pPr>
    <w:rPr>
      <w:b/>
      <w:kern w:val="2"/>
      <w:szCs w:val="20"/>
      <w14:ligatures w14:val="standardContextual"/>
    </w:rPr>
  </w:style>
  <w:style w:type="paragraph" w:styleId="Ttulo7">
    <w:name w:val="heading 7"/>
    <w:basedOn w:val="Parecer-licitao"/>
    <w:next w:val="Normal"/>
    <w:link w:val="Ttulo7Char"/>
    <w:uiPriority w:val="9"/>
    <w:unhideWhenUsed/>
    <w:qFormat/>
    <w:rsid w:val="005D2529"/>
    <w:pPr>
      <w:spacing w:after="60"/>
      <w:outlineLvl w:val="6"/>
    </w:pPr>
    <w:rPr>
      <w:rFonts w:cstheme="minorHAnsi"/>
      <w:b/>
      <w:bCs w:val="0"/>
      <w:kern w:val="2"/>
      <w14:ligatures w14:val="standardContextual"/>
    </w:rPr>
  </w:style>
  <w:style w:type="paragraph" w:styleId="Ttulo8">
    <w:name w:val="heading 8"/>
    <w:basedOn w:val="Ttulo9"/>
    <w:next w:val="Normal"/>
    <w:link w:val="Ttulo8Char"/>
    <w:uiPriority w:val="9"/>
    <w:unhideWhenUsed/>
    <w:qFormat/>
    <w:rsid w:val="00E11A20"/>
    <w:pPr>
      <w:outlineLvl w:val="7"/>
    </w:pPr>
  </w:style>
  <w:style w:type="paragraph" w:styleId="Ttulo9">
    <w:name w:val="heading 9"/>
    <w:basedOn w:val="Normal"/>
    <w:next w:val="Normal"/>
    <w:link w:val="Ttulo9Char"/>
    <w:uiPriority w:val="9"/>
    <w:unhideWhenUsed/>
    <w:qFormat/>
    <w:rsid w:val="003B6A75"/>
    <w:pPr>
      <w:keepNext/>
      <w:keepLines/>
      <w:jc w:val="center"/>
      <w:outlineLvl w:val="8"/>
    </w:pPr>
    <w:rPr>
      <w:rFonts w:asciiTheme="minorHAnsi" w:eastAsiaTheme="majorEastAsia" w:hAnsiTheme="minorHAnsi" w:cstheme="majorBidi"/>
      <w:iCs/>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D2529"/>
    <w:pPr>
      <w:tabs>
        <w:tab w:val="center" w:pos="4252"/>
        <w:tab w:val="right" w:pos="8504"/>
      </w:tabs>
    </w:pPr>
  </w:style>
  <w:style w:type="character" w:customStyle="1" w:styleId="CabealhoChar">
    <w:name w:val="Cabeçalho Char"/>
    <w:basedOn w:val="Fontepargpadro"/>
    <w:link w:val="Cabealho"/>
    <w:uiPriority w:val="99"/>
    <w:rsid w:val="005D2529"/>
    <w:rPr>
      <w:rFonts w:ascii="Calibri" w:hAnsi="Calibri" w:cs="Arial Unicode MS"/>
      <w:szCs w:val="24"/>
      <w:u w:color="000000"/>
      <w:bdr w:val="nil"/>
      <w:lang w:eastAsia="pt-BR"/>
      <w14:textOutline w14:w="0" w14:cap="flat" w14:cmpd="sng" w14:algn="ctr">
        <w14:noFill/>
        <w14:prstDash w14:val="solid"/>
        <w14:bevel/>
      </w14:textOutline>
    </w:rPr>
  </w:style>
  <w:style w:type="paragraph" w:styleId="Rodap">
    <w:name w:val="footer"/>
    <w:basedOn w:val="Normal"/>
    <w:link w:val="RodapChar"/>
    <w:uiPriority w:val="99"/>
    <w:unhideWhenUsed/>
    <w:rsid w:val="00EE2A1D"/>
    <w:pPr>
      <w:tabs>
        <w:tab w:val="center" w:pos="4252"/>
        <w:tab w:val="right" w:pos="8504"/>
      </w:tabs>
    </w:pPr>
  </w:style>
  <w:style w:type="character" w:customStyle="1" w:styleId="RodapChar">
    <w:name w:val="Rodapé Char"/>
    <w:basedOn w:val="Fontepargpadro"/>
    <w:link w:val="Rodap"/>
    <w:uiPriority w:val="99"/>
    <w:rsid w:val="00EE2A1D"/>
  </w:style>
  <w:style w:type="paragraph" w:styleId="Textodebalo">
    <w:name w:val="Balloon Text"/>
    <w:basedOn w:val="Normal"/>
    <w:link w:val="TextodebaloChar"/>
    <w:uiPriority w:val="99"/>
    <w:semiHidden/>
    <w:unhideWhenUsed/>
    <w:rsid w:val="007848CE"/>
    <w:rPr>
      <w:rFonts w:ascii="Segoe UI" w:hAnsi="Segoe UI" w:cs="Segoe UI"/>
      <w:sz w:val="18"/>
      <w:szCs w:val="18"/>
    </w:rPr>
  </w:style>
  <w:style w:type="character" w:customStyle="1" w:styleId="TextodebaloChar">
    <w:name w:val="Texto de balão Char"/>
    <w:basedOn w:val="Fontepargpadro"/>
    <w:link w:val="Textodebalo"/>
    <w:uiPriority w:val="99"/>
    <w:semiHidden/>
    <w:rsid w:val="007848CE"/>
    <w:rPr>
      <w:rFonts w:ascii="Segoe UI" w:hAnsi="Segoe UI" w:cs="Segoe UI"/>
      <w:sz w:val="18"/>
      <w:szCs w:val="18"/>
    </w:rPr>
  </w:style>
  <w:style w:type="paragraph" w:styleId="SemEspaamento">
    <w:name w:val="No Spacing"/>
    <w:uiPriority w:val="1"/>
    <w:qFormat/>
    <w:rsid w:val="00E70A83"/>
    <w:pPr>
      <w:spacing w:after="0" w:line="240" w:lineRule="auto"/>
    </w:pPr>
  </w:style>
  <w:style w:type="paragraph" w:styleId="PargrafodaLista">
    <w:name w:val="List Paragraph"/>
    <w:basedOn w:val="Normal"/>
    <w:uiPriority w:val="34"/>
    <w:qFormat/>
    <w:rsid w:val="002F09D5"/>
    <w:pPr>
      <w:ind w:left="720"/>
      <w:contextualSpacing/>
    </w:pPr>
  </w:style>
  <w:style w:type="paragraph" w:customStyle="1" w:styleId="citao">
    <w:name w:val="citação"/>
    <w:qFormat/>
    <w:rsid w:val="005D2529"/>
    <w:pPr>
      <w:pBdr>
        <w:top w:val="single" w:sz="8" w:space="1" w:color="2F5496" w:themeColor="accent1" w:themeShade="BF"/>
        <w:left w:val="single" w:sz="8" w:space="4" w:color="2F5496" w:themeColor="accent1" w:themeShade="BF"/>
        <w:bottom w:val="single" w:sz="8" w:space="1" w:color="2F5496" w:themeColor="accent1" w:themeShade="BF"/>
        <w:right w:val="single" w:sz="24" w:space="4" w:color="2F5496" w:themeColor="accent1" w:themeShade="BF"/>
      </w:pBdr>
      <w:shd w:val="pct5" w:color="DEEAF6" w:themeColor="accent5" w:themeTint="33" w:fill="auto"/>
      <w:tabs>
        <w:tab w:val="center" w:pos="4252"/>
        <w:tab w:val="right" w:pos="8504"/>
      </w:tabs>
      <w:spacing w:after="120" w:line="240" w:lineRule="auto"/>
      <w:ind w:left="851" w:right="397"/>
      <w:jc w:val="both"/>
    </w:pPr>
    <w:rPr>
      <w:rFonts w:asciiTheme="minorHAnsi" w:hAnsiTheme="minorHAnsi" w:cstheme="majorHAnsi"/>
      <w:i/>
      <w:iCs/>
      <w:color w:val="000000"/>
      <w:sz w:val="20"/>
      <w:shd w:val="clear" w:color="auto" w:fill="FFFFFF"/>
      <w:lang w:eastAsia="pt-BR"/>
    </w:rPr>
  </w:style>
  <w:style w:type="paragraph" w:customStyle="1" w:styleId="Citao-Parecer">
    <w:name w:val="Citação-Parecer"/>
    <w:basedOn w:val="citao"/>
    <w:qFormat/>
    <w:rsid w:val="005D2529"/>
    <w:pPr>
      <w:pBdr>
        <w:top w:val="nil"/>
        <w:left w:val="nil"/>
        <w:bottom w:val="nil"/>
        <w:right w:val="nil"/>
        <w:between w:val="nil"/>
        <w:bar w:val="nil"/>
      </w:pBdr>
      <w:shd w:val="clear" w:color="auto" w:fill="auto"/>
      <w:ind w:left="567" w:right="0"/>
    </w:pPr>
    <w:rPr>
      <w:rFonts w:ascii="Times New Roman" w:hAnsi="Times New Roman"/>
      <w:szCs w:val="20"/>
      <w:bdr w:val="nil"/>
      <w:shd w:val="clear" w:color="auto" w:fill="auto"/>
      <w:lang w:eastAsia="en-US"/>
    </w:rPr>
  </w:style>
  <w:style w:type="paragraph" w:customStyle="1" w:styleId="citao2">
    <w:name w:val="citação2"/>
    <w:basedOn w:val="citao"/>
    <w:next w:val="Normal"/>
    <w:qFormat/>
    <w:rsid w:val="005D2529"/>
    <w:pPr>
      <w:pBdr>
        <w:top w:val="none" w:sz="0" w:space="0" w:color="auto"/>
        <w:left w:val="single" w:sz="18" w:space="4" w:color="2F5496" w:themeColor="accent1" w:themeShade="BF"/>
        <w:bottom w:val="none" w:sz="0" w:space="0" w:color="auto"/>
        <w:right w:val="none" w:sz="0" w:space="0" w:color="auto"/>
      </w:pBdr>
      <w:ind w:left="708"/>
    </w:pPr>
    <w:rPr>
      <w:i w:val="0"/>
      <w:iCs w:val="0"/>
      <w:color w:val="2F5496" w:themeColor="accent1" w:themeShade="BF"/>
      <w:sz w:val="22"/>
    </w:rPr>
  </w:style>
  <w:style w:type="paragraph" w:customStyle="1" w:styleId="citacao3">
    <w:name w:val="citacao3"/>
    <w:basedOn w:val="citao2"/>
    <w:next w:val="Normal"/>
    <w:qFormat/>
    <w:rsid w:val="005D2529"/>
    <w:pPr>
      <w:spacing w:after="0" w:line="300" w:lineRule="auto"/>
      <w:ind w:left="170" w:right="0"/>
    </w:pPr>
    <w:rPr>
      <w:rFonts w:ascii="Cambria" w:hAnsi="Cambria"/>
      <w:color w:val="1F3864" w:themeColor="accent1" w:themeShade="80"/>
      <w:sz w:val="26"/>
      <w:szCs w:val="26"/>
    </w:rPr>
  </w:style>
  <w:style w:type="character" w:styleId="nfase">
    <w:name w:val="Emphasis"/>
    <w:basedOn w:val="Fontepargpadro"/>
    <w:uiPriority w:val="20"/>
    <w:qFormat/>
    <w:rsid w:val="005D2529"/>
    <w:rPr>
      <w:rFonts w:ascii="Century Gothic" w:hAnsi="Century Gothic"/>
      <w:b w:val="0"/>
      <w:i/>
      <w:iCs/>
      <w:sz w:val="20"/>
    </w:rPr>
  </w:style>
  <w:style w:type="paragraph" w:customStyle="1" w:styleId="Estilo2">
    <w:name w:val="Estilo2"/>
    <w:basedOn w:val="Normal"/>
    <w:qFormat/>
    <w:rsid w:val="005D2529"/>
    <w:pPr>
      <w:pBdr>
        <w:bottom w:val="single" w:sz="8" w:space="4" w:color="FF0000"/>
      </w:pBdr>
      <w:jc w:val="center"/>
    </w:pPr>
    <w:rPr>
      <w:rFonts w:ascii="Arial Rounded MT Bold" w:hAnsi="Arial Rounded MT Bold"/>
      <w:bCs/>
      <w:color w:val="006600"/>
      <w:sz w:val="28"/>
      <w:szCs w:val="22"/>
    </w:rPr>
  </w:style>
  <w:style w:type="paragraph" w:customStyle="1" w:styleId="Parecer-licitao">
    <w:name w:val="Parecer-licitação"/>
    <w:basedOn w:val="Normal"/>
    <w:qFormat/>
    <w:rsid w:val="005D2529"/>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Segoe UI" w:hAnsi="Segoe UI" w:cs="Calibri"/>
      <w:bCs/>
      <w:bdr w:val="none" w:sz="0" w:space="0" w:color="auto"/>
      <w14:textOutline w14:w="0" w14:cap="rnd" w14:cmpd="sng" w14:algn="ctr">
        <w14:noFill/>
        <w14:prstDash w14:val="solid"/>
        <w14:bevel/>
      </w14:textOutline>
    </w:rPr>
  </w:style>
  <w:style w:type="paragraph" w:customStyle="1" w:styleId="Peticao">
    <w:name w:val="Peticao"/>
    <w:basedOn w:val="Normal"/>
    <w:qFormat/>
    <w:rsid w:val="005D2529"/>
    <w:pPr>
      <w:autoSpaceDE w:val="0"/>
      <w:autoSpaceDN w:val="0"/>
      <w:adjustRightInd w:val="0"/>
      <w:spacing w:line="300" w:lineRule="auto"/>
    </w:pPr>
    <w:rPr>
      <w:rFonts w:ascii="Cambria" w:hAnsi="Cambria" w:cs="Calibri Light"/>
      <w:sz w:val="28"/>
      <w:szCs w:val="26"/>
      <w:lang w:eastAsia="en-US"/>
    </w:rPr>
  </w:style>
  <w:style w:type="paragraph" w:customStyle="1" w:styleId="PL-Corpo">
    <w:name w:val="PL-Corpo"/>
    <w:qFormat/>
    <w:rsid w:val="005D2529"/>
    <w:pPr>
      <w:pBdr>
        <w:top w:val="nil"/>
        <w:left w:val="nil"/>
        <w:bottom w:val="nil"/>
        <w:right w:val="nil"/>
        <w:between w:val="nil"/>
      </w:pBdr>
      <w:spacing w:after="0" w:line="240" w:lineRule="auto"/>
      <w:jc w:val="both"/>
    </w:pPr>
    <w:rPr>
      <w:rFonts w:ascii="Calibri" w:hAnsi="Calibri" w:cs="Times New Roman"/>
      <w:szCs w:val="24"/>
      <w:lang w:eastAsia="pt-BR"/>
    </w:rPr>
  </w:style>
  <w:style w:type="paragraph" w:customStyle="1" w:styleId="PL-NR">
    <w:name w:val="PL-NR"/>
    <w:basedOn w:val="PL-Corpo"/>
    <w:qFormat/>
    <w:rsid w:val="005D2529"/>
    <w:pPr>
      <w:ind w:left="720"/>
      <w:contextualSpacing/>
    </w:pPr>
  </w:style>
  <w:style w:type="paragraph" w:customStyle="1" w:styleId="Redoriglei">
    <w:name w:val="Red_orig_lei"/>
    <w:basedOn w:val="Normal"/>
    <w:qFormat/>
    <w:rsid w:val="005D2529"/>
    <w:pPr>
      <w:ind w:left="284" w:right="284"/>
    </w:pPr>
    <w:rPr>
      <w:rFonts w:eastAsia="Arial Unicode MS"/>
    </w:rPr>
  </w:style>
  <w:style w:type="paragraph" w:styleId="Textodenotaderodap">
    <w:name w:val="footnote text"/>
    <w:basedOn w:val="Normal"/>
    <w:link w:val="TextodenotaderodapChar"/>
    <w:unhideWhenUsed/>
    <w:qFormat/>
    <w:rsid w:val="005D2529"/>
    <w:rPr>
      <w:rFonts w:ascii="Times" w:hAnsi="Times"/>
      <w:i/>
      <w:kern w:val="2"/>
      <w:lang w:eastAsia="en-US"/>
      <w14:ligatures w14:val="standardContextual"/>
    </w:rPr>
  </w:style>
  <w:style w:type="character" w:customStyle="1" w:styleId="TextodenotaderodapChar">
    <w:name w:val="Texto de nota de rodapé Char"/>
    <w:basedOn w:val="Fontepargpadro"/>
    <w:link w:val="Textodenotaderodap"/>
    <w:qFormat/>
    <w:rsid w:val="005D2529"/>
    <w:rPr>
      <w:rFonts w:ascii="Times" w:hAnsi="Times" w:cs="Arial Unicode MS"/>
      <w:i/>
      <w:kern w:val="2"/>
      <w:szCs w:val="24"/>
      <w:u w:color="000000"/>
      <w:bdr w:val="nil"/>
      <w14:textOutline w14:w="0" w14:cap="flat" w14:cmpd="sng" w14:algn="ctr">
        <w14:noFill/>
        <w14:prstDash w14:val="solid"/>
        <w14:bevel/>
      </w14:textOutline>
      <w14:ligatures w14:val="standardContextual"/>
    </w:rPr>
  </w:style>
  <w:style w:type="paragraph" w:styleId="Ttulo">
    <w:name w:val="Title"/>
    <w:basedOn w:val="Normal"/>
    <w:next w:val="Normal"/>
    <w:link w:val="TtuloChar"/>
    <w:uiPriority w:val="10"/>
    <w:qFormat/>
    <w:rsid w:val="005D2529"/>
    <w:pPr>
      <w:contextualSpacing/>
      <w:jc w:val="center"/>
    </w:pPr>
    <w:rPr>
      <w:rFonts w:asciiTheme="majorHAnsi" w:eastAsiaTheme="majorEastAsia" w:hAnsiTheme="majorHAnsi" w:cstheme="majorBidi"/>
      <w:color w:val="2F5496" w:themeColor="accent1" w:themeShade="BF"/>
      <w:spacing w:val="-10"/>
      <w:kern w:val="28"/>
      <w:sz w:val="52"/>
      <w:szCs w:val="56"/>
      <w14:ligatures w14:val="standardContextual"/>
    </w:rPr>
  </w:style>
  <w:style w:type="character" w:customStyle="1" w:styleId="TtuloChar">
    <w:name w:val="Título Char"/>
    <w:basedOn w:val="Fontepargpadro"/>
    <w:link w:val="Ttulo"/>
    <w:uiPriority w:val="10"/>
    <w:rsid w:val="005D2529"/>
    <w:rPr>
      <w:rFonts w:asciiTheme="majorHAnsi" w:eastAsiaTheme="majorEastAsia" w:hAnsiTheme="majorHAnsi" w:cstheme="majorBidi"/>
      <w:color w:val="2F5496" w:themeColor="accent1" w:themeShade="BF"/>
      <w:spacing w:val="-10"/>
      <w:kern w:val="28"/>
      <w:sz w:val="52"/>
      <w:szCs w:val="56"/>
      <w:u w:color="000000"/>
      <w:bdr w:val="nil"/>
      <w:lang w:eastAsia="pt-BR"/>
      <w14:textOutline w14:w="0" w14:cap="flat" w14:cmpd="sng" w14:algn="ctr">
        <w14:noFill/>
        <w14:prstDash w14:val="solid"/>
        <w14:bevel/>
      </w14:textOutline>
      <w14:ligatures w14:val="standardContextual"/>
    </w:rPr>
  </w:style>
  <w:style w:type="character" w:customStyle="1" w:styleId="Ttulo1Char">
    <w:name w:val="Título 1 Char"/>
    <w:basedOn w:val="Fontepargpadro"/>
    <w:link w:val="Ttulo1"/>
    <w:uiPriority w:val="9"/>
    <w:rsid w:val="005D2529"/>
    <w:rPr>
      <w:rFonts w:asciiTheme="majorHAnsi" w:eastAsiaTheme="majorEastAsia" w:hAnsiTheme="majorHAnsi" w:cstheme="majorBidi"/>
      <w:color w:val="2F5496" w:themeColor="accent1" w:themeShade="BF"/>
      <w:kern w:val="2"/>
      <w:sz w:val="32"/>
      <w:szCs w:val="28"/>
      <w:u w:color="000000"/>
      <w:bdr w:val="nil"/>
      <w14:textOutline w14:w="0" w14:cap="flat" w14:cmpd="sng" w14:algn="ctr">
        <w14:noFill/>
        <w14:prstDash w14:val="solid"/>
        <w14:bevel/>
      </w14:textOutline>
      <w14:ligatures w14:val="standardContextual"/>
    </w:rPr>
  </w:style>
  <w:style w:type="character" w:customStyle="1" w:styleId="Ttulo4Char">
    <w:name w:val="Título 4 Char"/>
    <w:basedOn w:val="Fontepargpadro"/>
    <w:link w:val="Ttulo4"/>
    <w:uiPriority w:val="9"/>
    <w:rsid w:val="005D2529"/>
    <w:rPr>
      <w:rFonts w:asciiTheme="majorHAnsi" w:eastAsiaTheme="majorEastAsia" w:hAnsiTheme="majorHAnsi" w:cstheme="majorBidi"/>
      <w:i/>
      <w:iCs/>
      <w:color w:val="2F5496" w:themeColor="accent1" w:themeShade="BF"/>
      <w:kern w:val="2"/>
      <w:szCs w:val="24"/>
      <w:u w:color="000000"/>
      <w:bdr w:val="nil"/>
      <w:lang w:eastAsia="pt-BR"/>
      <w14:textOutline w14:w="0" w14:cap="flat" w14:cmpd="sng" w14:algn="ctr">
        <w14:noFill/>
        <w14:prstDash w14:val="solid"/>
        <w14:bevel/>
      </w14:textOutline>
      <w14:ligatures w14:val="standardContextual"/>
    </w:rPr>
  </w:style>
  <w:style w:type="character" w:customStyle="1" w:styleId="Ttulo2Char">
    <w:name w:val="Título 2 Char"/>
    <w:basedOn w:val="Fontepargpadro"/>
    <w:link w:val="Ttulo2"/>
    <w:uiPriority w:val="9"/>
    <w:rsid w:val="005D2529"/>
    <w:rPr>
      <w:rFonts w:asciiTheme="majorHAnsi" w:hAnsiTheme="majorHAnsi" w:cstheme="majorHAnsi"/>
      <w:i/>
      <w:iCs/>
      <w:color w:val="073763"/>
      <w:kern w:val="2"/>
      <w:sz w:val="22"/>
      <w:u w:color="000000"/>
      <w:bdr w:val="nil"/>
      <w14:textOutline w14:w="0" w14:cap="flat" w14:cmpd="sng" w14:algn="ctr">
        <w14:noFill/>
        <w14:prstDash w14:val="solid"/>
        <w14:bevel/>
      </w14:textOutline>
      <w14:ligatures w14:val="standardContextual"/>
    </w:rPr>
  </w:style>
  <w:style w:type="character" w:customStyle="1" w:styleId="Ttulo3Char">
    <w:name w:val="Título 3 Char"/>
    <w:basedOn w:val="Fontepargpadro"/>
    <w:link w:val="Ttulo3"/>
    <w:uiPriority w:val="9"/>
    <w:rsid w:val="005D2529"/>
    <w:rPr>
      <w:rFonts w:asciiTheme="majorHAnsi" w:eastAsiaTheme="majorEastAsia" w:hAnsiTheme="majorHAnsi" w:cstheme="majorBidi"/>
      <w:color w:val="1F3763" w:themeColor="accent1" w:themeShade="7F"/>
      <w:szCs w:val="24"/>
      <w:u w:color="000000"/>
      <w:bdr w:val="nil"/>
      <w14:textOutline w14:w="0" w14:cap="flat" w14:cmpd="sng" w14:algn="ctr">
        <w14:noFill/>
        <w14:prstDash w14:val="solid"/>
        <w14:bevel/>
      </w14:textOutline>
    </w:rPr>
  </w:style>
  <w:style w:type="character" w:customStyle="1" w:styleId="Ttulo5Char">
    <w:name w:val="Título 5 Char"/>
    <w:basedOn w:val="Fontepargpadro"/>
    <w:link w:val="Ttulo5"/>
    <w:uiPriority w:val="9"/>
    <w:rsid w:val="005D2529"/>
    <w:rPr>
      <w:rFonts w:asciiTheme="majorHAnsi" w:eastAsiaTheme="majorEastAsia" w:hAnsiTheme="majorHAnsi" w:cstheme="majorBidi"/>
      <w:color w:val="1F3864" w:themeColor="accent1" w:themeShade="80"/>
      <w:kern w:val="2"/>
      <w:szCs w:val="24"/>
      <w:u w:color="000000"/>
      <w:bdr w:val="nil"/>
      <w:lang w:eastAsia="pt-BR"/>
      <w14:textOutline w14:w="0" w14:cap="flat" w14:cmpd="sng" w14:algn="ctr">
        <w14:noFill/>
        <w14:prstDash w14:val="solid"/>
        <w14:bevel/>
      </w14:textOutline>
      <w14:ligatures w14:val="standardContextual"/>
    </w:rPr>
  </w:style>
  <w:style w:type="character" w:customStyle="1" w:styleId="Ttulo6Char">
    <w:name w:val="Título 6 Char"/>
    <w:basedOn w:val="Fontepargpadro"/>
    <w:link w:val="Ttulo6"/>
    <w:uiPriority w:val="9"/>
    <w:rsid w:val="005D2529"/>
    <w:rPr>
      <w:rFonts w:ascii="Calibri" w:eastAsia="Arial Unicode MS" w:hAnsi="Calibri" w:cs="Arial Unicode MS"/>
      <w:b/>
      <w:kern w:val="2"/>
      <w:szCs w:val="20"/>
      <w:u w:color="000000"/>
      <w:bdr w:val="nil"/>
      <w:lang w:eastAsia="pt-BR"/>
      <w14:textOutline w14:w="0" w14:cap="flat" w14:cmpd="sng" w14:algn="ctr">
        <w14:noFill/>
        <w14:prstDash w14:val="solid"/>
        <w14:bevel/>
      </w14:textOutline>
      <w14:ligatures w14:val="standardContextual"/>
    </w:rPr>
  </w:style>
  <w:style w:type="character" w:customStyle="1" w:styleId="Ttulo7Char">
    <w:name w:val="Título 7 Char"/>
    <w:basedOn w:val="Fontepargpadro"/>
    <w:link w:val="Ttulo7"/>
    <w:uiPriority w:val="9"/>
    <w:rsid w:val="005D2529"/>
    <w:rPr>
      <w:rFonts w:ascii="Segoe UI" w:hAnsi="Segoe UI" w:cstheme="minorHAnsi"/>
      <w:b/>
      <w:kern w:val="2"/>
      <w:szCs w:val="24"/>
      <w:lang w:eastAsia="pt-BR"/>
      <w14:ligatures w14:val="standardContextual"/>
    </w:rPr>
  </w:style>
  <w:style w:type="character" w:customStyle="1" w:styleId="Ttulo8Char">
    <w:name w:val="Título 8 Char"/>
    <w:basedOn w:val="Fontepargpadro"/>
    <w:link w:val="Ttulo8"/>
    <w:uiPriority w:val="9"/>
    <w:rsid w:val="00E11A20"/>
    <w:rPr>
      <w:rFonts w:asciiTheme="minorHAnsi" w:eastAsiaTheme="majorEastAsia" w:hAnsiTheme="minorHAnsi" w:cstheme="majorBidi"/>
      <w:iCs/>
      <w:szCs w:val="21"/>
      <w:u w:color="000000"/>
      <w:bdr w:val="nil"/>
      <w:lang w:eastAsia="pt-BR"/>
      <w14:textOutline w14:w="0" w14:cap="flat" w14:cmpd="sng" w14:algn="ctr">
        <w14:noFill/>
        <w14:prstDash w14:val="solid"/>
        <w14:bevel/>
      </w14:textOutline>
    </w:rPr>
  </w:style>
  <w:style w:type="paragraph" w:styleId="Corpodetexto">
    <w:name w:val="Body Text"/>
    <w:basedOn w:val="Normal"/>
    <w:link w:val="CorpodetextoChar"/>
    <w:unhideWhenUsed/>
    <w:rsid w:val="006B533C"/>
    <w:pPr>
      <w:pBdr>
        <w:top w:val="none" w:sz="0" w:space="0" w:color="auto"/>
        <w:left w:val="none" w:sz="0" w:space="0" w:color="auto"/>
        <w:bottom w:val="none" w:sz="0" w:space="0" w:color="auto"/>
        <w:right w:val="none" w:sz="0" w:space="0" w:color="auto"/>
        <w:between w:val="none" w:sz="0" w:space="0" w:color="auto"/>
        <w:bar w:val="none" w:sz="0" w:color="auto"/>
      </w:pBdr>
    </w:pPr>
    <w:rPr>
      <w:rFonts w:ascii="Tahoma" w:eastAsia="Times New Roman" w:hAnsi="Tahoma" w:cs="Times New Roman"/>
      <w:sz w:val="22"/>
      <w:szCs w:val="20"/>
      <w:bdr w:val="none" w:sz="0" w:space="0" w:color="auto"/>
      <w14:textOutline w14:w="0" w14:cap="rnd" w14:cmpd="sng" w14:algn="ctr">
        <w14:noFill/>
        <w14:prstDash w14:val="solid"/>
        <w14:bevel/>
      </w14:textOutline>
    </w:rPr>
  </w:style>
  <w:style w:type="character" w:customStyle="1" w:styleId="CorpodetextoChar">
    <w:name w:val="Corpo de texto Char"/>
    <w:basedOn w:val="Fontepargpadro"/>
    <w:link w:val="Corpodetexto"/>
    <w:rsid w:val="006B533C"/>
    <w:rPr>
      <w:rFonts w:ascii="Tahoma" w:eastAsia="Times New Roman" w:hAnsi="Tahoma" w:cs="Times New Roman"/>
      <w:sz w:val="22"/>
      <w:szCs w:val="20"/>
      <w:lang w:eastAsia="pt-BR"/>
    </w:rPr>
  </w:style>
  <w:style w:type="paragraph" w:customStyle="1" w:styleId="Corpo">
    <w:name w:val="Corpo"/>
    <w:qFormat/>
    <w:rsid w:val="006B533C"/>
    <w:pPr>
      <w:spacing w:after="0" w:line="240" w:lineRule="auto"/>
      <w:jc w:val="both"/>
    </w:pPr>
    <w:rPr>
      <w:rFonts w:ascii="Calibri" w:eastAsia="Arial Unicode MS" w:hAnsi="Calibri" w:cs="Arial Unicode MS"/>
      <w:szCs w:val="24"/>
      <w:u w:color="000000"/>
      <w:lang w:eastAsia="pt-BR"/>
      <w14:textOutline w14:w="0" w14:cap="flat" w14:cmpd="sng" w14:algn="ctr">
        <w14:noFill/>
        <w14:prstDash w14:val="solid"/>
        <w14:bevel/>
      </w14:textOutline>
    </w:rPr>
  </w:style>
  <w:style w:type="paragraph" w:customStyle="1" w:styleId="Blockquote">
    <w:name w:val="Blockquote"/>
    <w:basedOn w:val="Normal"/>
    <w:rsid w:val="003B6A75"/>
    <w:pPr>
      <w:pBdr>
        <w:top w:val="none" w:sz="0" w:space="0" w:color="auto"/>
        <w:left w:val="none" w:sz="0" w:space="0" w:color="auto"/>
        <w:bottom w:val="none" w:sz="0" w:space="0" w:color="auto"/>
        <w:right w:val="none" w:sz="0" w:space="0" w:color="auto"/>
        <w:between w:val="none" w:sz="0" w:space="0" w:color="auto"/>
        <w:bar w:val="none" w:sz="0" w:color="auto"/>
      </w:pBdr>
      <w:snapToGrid w:val="0"/>
      <w:spacing w:before="100" w:after="100"/>
      <w:ind w:left="360" w:right="360"/>
      <w:jc w:val="left"/>
    </w:pPr>
    <w:rPr>
      <w:rFonts w:ascii="Times New Roman" w:eastAsia="Times New Roman" w:hAnsi="Times New Roman" w:cs="Times New Roman"/>
      <w:szCs w:val="20"/>
      <w:bdr w:val="none" w:sz="0" w:space="0" w:color="auto"/>
      <w14:textOutline w14:w="0" w14:cap="rnd" w14:cmpd="sng" w14:algn="ctr">
        <w14:noFill/>
        <w14:prstDash w14:val="solid"/>
        <w14:bevel/>
      </w14:textOutline>
    </w:rPr>
  </w:style>
  <w:style w:type="character" w:customStyle="1" w:styleId="Ttulo9Char">
    <w:name w:val="Título 9 Char"/>
    <w:basedOn w:val="Fontepargpadro"/>
    <w:link w:val="Ttulo9"/>
    <w:uiPriority w:val="9"/>
    <w:rsid w:val="003B6A75"/>
    <w:rPr>
      <w:rFonts w:asciiTheme="minorHAnsi" w:eastAsiaTheme="majorEastAsia" w:hAnsiTheme="minorHAnsi" w:cstheme="majorBidi"/>
      <w:iCs/>
      <w:szCs w:val="21"/>
      <w:u w:color="000000"/>
      <w:bdr w:val="nil"/>
      <w:lang w:eastAsia="pt-BR"/>
      <w14:textOutline w14:w="0" w14:cap="flat" w14:cmpd="sng" w14:algn="ctr">
        <w14:noFill/>
        <w14:prstDash w14:val="solid"/>
        <w14:bevel/>
      </w14:textOutline>
    </w:rPr>
  </w:style>
  <w:style w:type="paragraph" w:customStyle="1" w:styleId="Captulo-PL">
    <w:name w:val="Capítulo-PL"/>
    <w:basedOn w:val="Ttulo1"/>
    <w:next w:val="PL-Corpo"/>
    <w:qFormat/>
    <w:rsid w:val="00E11A20"/>
    <w:pPr>
      <w:keepNext w:val="0"/>
      <w:keepLines w:val="0"/>
      <w:jc w:val="center"/>
    </w:pPr>
    <w:rPr>
      <w:rFonts w:ascii="Calibri" w:eastAsiaTheme="minorHAnsi" w:hAnsi="Calibri" w:cs="Arial Unicode MS"/>
      <w:color w:val="auto"/>
      <w:sz w:val="24"/>
      <w:szCs w:val="24"/>
      <w:bdr w:val="none" w:sz="0" w:space="0" w:color="auto"/>
      <w:lang w:eastAsia="pt-BR"/>
      <w14:textOutline w14:w="0" w14:cap="rnd" w14:cmpd="sng" w14:algn="ctr">
        <w14:noFill/>
        <w14:prstDash w14:val="solid"/>
        <w14:bevel/>
      </w14:textOutline>
    </w:rPr>
  </w:style>
  <w:style w:type="paragraph" w:customStyle="1" w:styleId="Seo-PL">
    <w:name w:val="Seção-PL"/>
    <w:basedOn w:val="PL-Corpo"/>
    <w:next w:val="PL-Corpo"/>
    <w:qFormat/>
    <w:rsid w:val="00E11A20"/>
    <w:pPr>
      <w:jc w:val="center"/>
    </w:pPr>
    <w:rPr>
      <w:rFonts w:cs="Arial"/>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12</Pages>
  <Words>5052</Words>
  <Characters>27284</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VIGILANCIA</dc:creator>
  <cp:keywords/>
  <dc:description/>
  <cp:lastModifiedBy>Claudinei Turatti</cp:lastModifiedBy>
  <cp:revision>7</cp:revision>
  <cp:lastPrinted>2024-04-05T16:53:00Z</cp:lastPrinted>
  <dcterms:created xsi:type="dcterms:W3CDTF">2024-06-20T15:02:00Z</dcterms:created>
  <dcterms:modified xsi:type="dcterms:W3CDTF">2024-06-28T00:48:00Z</dcterms:modified>
</cp:coreProperties>
</file>